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FE13D" w14:textId="77777777" w:rsidR="00687640" w:rsidRPr="00873F20" w:rsidRDefault="00D55FEA" w:rsidP="00D55FEA">
      <w:pPr>
        <w:pBdr>
          <w:top w:val="single" w:sz="8" w:space="1" w:color="auto"/>
          <w:left w:val="single" w:sz="8" w:space="4" w:color="auto"/>
          <w:bottom w:val="single" w:sz="8" w:space="1" w:color="auto"/>
          <w:right w:val="single" w:sz="8" w:space="4" w:color="auto"/>
        </w:pBdr>
        <w:tabs>
          <w:tab w:val="clear" w:pos="567"/>
        </w:tabs>
        <w:ind w:left="8222"/>
        <w:jc w:val="center"/>
        <w:rPr>
          <w:b/>
          <w:sz w:val="28"/>
          <w:szCs w:val="28"/>
        </w:rPr>
      </w:pPr>
      <w:r w:rsidRPr="00873F20">
        <w:rPr>
          <w:b/>
          <w:sz w:val="28"/>
          <w:szCs w:val="28"/>
        </w:rPr>
        <w:t>DSC</w:t>
      </w:r>
    </w:p>
    <w:p w14:paraId="75F0BEE4" w14:textId="51D72134" w:rsidR="001E295B" w:rsidRPr="00873F20" w:rsidRDefault="00873F20" w:rsidP="00D55FEA">
      <w:pPr>
        <w:pStyle w:val="Header"/>
        <w:pBdr>
          <w:bottom w:val="none" w:sz="0" w:space="0" w:color="auto"/>
        </w:pBdr>
        <w:jc w:val="left"/>
        <w:rPr>
          <w:noProof w:val="0"/>
        </w:rPr>
      </w:pPr>
      <w:r>
        <w:rPr>
          <w:noProof w:val="0"/>
        </w:rPr>
        <w:t>161</w:t>
      </w:r>
      <w:r w:rsidR="00D55FEA" w:rsidRPr="00873F20">
        <w:rPr>
          <w:noProof w:val="0"/>
        </w:rPr>
        <w:t xml:space="preserve"> DSC 16 F</w:t>
      </w:r>
      <w:r w:rsidR="00F22FFB">
        <w:rPr>
          <w:noProof w:val="0"/>
        </w:rPr>
        <w:t xml:space="preserve"> bis</w:t>
      </w:r>
    </w:p>
    <w:p w14:paraId="2FD839F3" w14:textId="77777777" w:rsidR="001E295B" w:rsidRPr="00873F20" w:rsidRDefault="001E295B" w:rsidP="00D55FEA">
      <w:pPr>
        <w:pStyle w:val="Header"/>
        <w:pBdr>
          <w:bottom w:val="none" w:sz="0" w:space="0" w:color="auto"/>
        </w:pBdr>
        <w:jc w:val="left"/>
        <w:rPr>
          <w:noProof w:val="0"/>
        </w:rPr>
      </w:pPr>
      <w:r w:rsidRPr="00873F20">
        <w:rPr>
          <w:noProof w:val="0"/>
        </w:rPr>
        <w:t>Original</w:t>
      </w:r>
      <w:r w:rsidR="00566EDA" w:rsidRPr="00873F20">
        <w:rPr>
          <w:noProof w:val="0"/>
        </w:rPr>
        <w:t xml:space="preserve"> </w:t>
      </w:r>
      <w:r w:rsidRPr="00873F20">
        <w:rPr>
          <w:noProof w:val="0"/>
        </w:rPr>
        <w:t xml:space="preserve">: </w:t>
      </w:r>
      <w:r w:rsidR="0059094C" w:rsidRPr="00873F20">
        <w:rPr>
          <w:noProof w:val="0"/>
        </w:rPr>
        <w:t>anglais</w:t>
      </w:r>
    </w:p>
    <w:p w14:paraId="1533E257" w14:textId="77777777" w:rsidR="001E295B" w:rsidRPr="00873F20" w:rsidRDefault="001E295B" w:rsidP="00D55FEA"/>
    <w:p w14:paraId="027EECE4" w14:textId="77777777" w:rsidR="000D30B6" w:rsidRPr="00873F20" w:rsidRDefault="009775C1" w:rsidP="00D55FEA">
      <w:pPr>
        <w:ind w:right="-1"/>
        <w:jc w:val="center"/>
        <w:rPr>
          <w:spacing w:val="-4"/>
        </w:rPr>
      </w:pPr>
      <w:r w:rsidRPr="00873F20">
        <w:rPr>
          <w:noProof/>
          <w:lang w:val="en-GB" w:eastAsia="en-GB"/>
        </w:rPr>
        <w:drawing>
          <wp:inline distT="0" distB="0" distL="0" distR="0" wp14:anchorId="14D7DF38" wp14:editId="389B2DB4">
            <wp:extent cx="276225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1181100"/>
                    </a:xfrm>
                    <a:prstGeom prst="rect">
                      <a:avLst/>
                    </a:prstGeom>
                    <a:noFill/>
                    <a:ln>
                      <a:noFill/>
                    </a:ln>
                  </pic:spPr>
                </pic:pic>
              </a:graphicData>
            </a:graphic>
          </wp:inline>
        </w:drawing>
      </w:r>
    </w:p>
    <w:p w14:paraId="5A528CAA" w14:textId="77777777" w:rsidR="000D30B6" w:rsidRPr="00873F20" w:rsidRDefault="00566EDA" w:rsidP="00D55FEA">
      <w:pPr>
        <w:jc w:val="center"/>
        <w:rPr>
          <w:spacing w:val="20"/>
          <w:sz w:val="36"/>
          <w:szCs w:val="36"/>
        </w:rPr>
      </w:pPr>
      <w:r w:rsidRPr="00873F20">
        <w:rPr>
          <w:spacing w:val="20"/>
          <w:sz w:val="36"/>
          <w:szCs w:val="36"/>
        </w:rPr>
        <w:t>Assemblée parlementaire de l’OTAN</w:t>
      </w:r>
      <w:r w:rsidR="000D30B6" w:rsidRPr="00873F20">
        <w:rPr>
          <w:spacing w:val="20"/>
          <w:sz w:val="36"/>
          <w:szCs w:val="36"/>
        </w:rPr>
        <w:t xml:space="preserve"> </w:t>
      </w:r>
    </w:p>
    <w:p w14:paraId="2BEB4B8D" w14:textId="77777777" w:rsidR="001E295B" w:rsidRPr="00873F20" w:rsidRDefault="001E295B" w:rsidP="00D55FEA">
      <w:pPr>
        <w:jc w:val="center"/>
        <w:rPr>
          <w:bCs/>
          <w:sz w:val="24"/>
        </w:rPr>
      </w:pPr>
    </w:p>
    <w:p w14:paraId="7CBE1904" w14:textId="45E26209" w:rsidR="001E295B" w:rsidRDefault="001E295B" w:rsidP="00D55FEA"/>
    <w:p w14:paraId="18D7C4F2" w14:textId="27764F08" w:rsidR="007C2116" w:rsidRDefault="007C2116" w:rsidP="00D55FEA"/>
    <w:p w14:paraId="00C2C093" w14:textId="77777777" w:rsidR="007C2116" w:rsidRPr="00873F20" w:rsidRDefault="007C2116" w:rsidP="00D55FEA"/>
    <w:p w14:paraId="23D2A285" w14:textId="77777777" w:rsidR="00D55FEA" w:rsidRPr="00873F20" w:rsidRDefault="00D55FEA" w:rsidP="00D55FEA">
      <w:pPr>
        <w:jc w:val="center"/>
        <w:rPr>
          <w:bCs/>
          <w:caps/>
          <w:sz w:val="40"/>
          <w:szCs w:val="40"/>
        </w:rPr>
      </w:pPr>
      <w:r w:rsidRPr="00873F20">
        <w:rPr>
          <w:bCs/>
          <w:caps/>
          <w:sz w:val="40"/>
          <w:szCs w:val="40"/>
        </w:rPr>
        <w:t xml:space="preserve">commission </w:t>
      </w:r>
    </w:p>
    <w:p w14:paraId="62B189BA" w14:textId="77777777" w:rsidR="001E295B" w:rsidRPr="00873F20" w:rsidRDefault="004F5260" w:rsidP="00D55FEA">
      <w:pPr>
        <w:jc w:val="center"/>
        <w:rPr>
          <w:bCs/>
          <w:caps/>
          <w:sz w:val="40"/>
          <w:szCs w:val="40"/>
        </w:rPr>
      </w:pPr>
      <w:r w:rsidRPr="00873F20">
        <w:rPr>
          <w:bCs/>
          <w:caps/>
          <w:sz w:val="40"/>
          <w:szCs w:val="40"/>
        </w:rPr>
        <w:t>de la dÉf</w:t>
      </w:r>
      <w:r w:rsidR="00A27A33" w:rsidRPr="00873F20">
        <w:rPr>
          <w:bCs/>
          <w:caps/>
          <w:sz w:val="40"/>
          <w:szCs w:val="40"/>
        </w:rPr>
        <w:t>e</w:t>
      </w:r>
      <w:r w:rsidRPr="00873F20">
        <w:rPr>
          <w:bCs/>
          <w:caps/>
          <w:sz w:val="40"/>
          <w:szCs w:val="40"/>
        </w:rPr>
        <w:t>nse et de la sÉ</w:t>
      </w:r>
      <w:r w:rsidR="002E280B" w:rsidRPr="00873F20">
        <w:rPr>
          <w:bCs/>
          <w:caps/>
          <w:sz w:val="40"/>
          <w:szCs w:val="40"/>
        </w:rPr>
        <w:t>curitÉ</w:t>
      </w:r>
    </w:p>
    <w:p w14:paraId="4FFD945D" w14:textId="43BB9976" w:rsidR="001E295B" w:rsidRDefault="001E295B" w:rsidP="00D55FEA">
      <w:pPr>
        <w:jc w:val="center"/>
        <w:rPr>
          <w:bCs/>
          <w:sz w:val="24"/>
        </w:rPr>
      </w:pPr>
    </w:p>
    <w:p w14:paraId="0EFB17CA" w14:textId="77777777" w:rsidR="00FC6E48" w:rsidRDefault="00FC6E48" w:rsidP="00D55FEA">
      <w:pPr>
        <w:jc w:val="center"/>
        <w:rPr>
          <w:bCs/>
          <w:sz w:val="24"/>
        </w:rPr>
      </w:pPr>
    </w:p>
    <w:p w14:paraId="353339A4" w14:textId="77777777" w:rsidR="007C2116" w:rsidRPr="00873F20" w:rsidRDefault="007C2116" w:rsidP="00D55FEA">
      <w:pPr>
        <w:jc w:val="center"/>
        <w:rPr>
          <w:bCs/>
          <w:sz w:val="24"/>
        </w:rPr>
      </w:pPr>
    </w:p>
    <w:p w14:paraId="53C58710" w14:textId="77777777" w:rsidR="001E295B" w:rsidRPr="00873F20" w:rsidRDefault="001E295B" w:rsidP="00D55FEA">
      <w:pPr>
        <w:jc w:val="center"/>
        <w:rPr>
          <w:bCs/>
          <w:sz w:val="24"/>
        </w:rPr>
      </w:pPr>
    </w:p>
    <w:p w14:paraId="5BDB4089" w14:textId="77777777" w:rsidR="001E295B" w:rsidRPr="00873F20" w:rsidRDefault="001E295B" w:rsidP="00D55FEA">
      <w:pPr>
        <w:pBdr>
          <w:top w:val="single" w:sz="18" w:space="1" w:color="auto"/>
          <w:bottom w:val="single" w:sz="18" w:space="1" w:color="auto"/>
        </w:pBdr>
        <w:jc w:val="center"/>
        <w:rPr>
          <w:sz w:val="40"/>
        </w:rPr>
      </w:pPr>
    </w:p>
    <w:p w14:paraId="6DEC0EB9" w14:textId="77777777" w:rsidR="00C20C89" w:rsidRPr="00873F20" w:rsidRDefault="00AA693B" w:rsidP="00D55FEA">
      <w:pPr>
        <w:pBdr>
          <w:top w:val="single" w:sz="18" w:space="1" w:color="auto"/>
          <w:bottom w:val="single" w:sz="18" w:space="1" w:color="auto"/>
        </w:pBdr>
        <w:jc w:val="center"/>
        <w:rPr>
          <w:caps/>
          <w:sz w:val="48"/>
          <w:szCs w:val="48"/>
        </w:rPr>
      </w:pPr>
      <w:r w:rsidRPr="00873F20">
        <w:rPr>
          <w:caps/>
          <w:sz w:val="48"/>
          <w:szCs w:val="48"/>
        </w:rPr>
        <w:t xml:space="preserve">LA </w:t>
      </w:r>
      <w:r w:rsidR="0059094C" w:rsidRPr="00873F20">
        <w:rPr>
          <w:caps/>
          <w:sz w:val="48"/>
          <w:szCs w:val="48"/>
        </w:rPr>
        <w:t>NOUV</w:t>
      </w:r>
      <w:r w:rsidRPr="00873F20">
        <w:rPr>
          <w:caps/>
          <w:sz w:val="48"/>
          <w:szCs w:val="48"/>
        </w:rPr>
        <w:t>ELLE POSTURE DE DISSUASION DE L’OTAN</w:t>
      </w:r>
      <w:r w:rsidR="0059094C" w:rsidRPr="00873F20">
        <w:rPr>
          <w:caps/>
          <w:sz w:val="48"/>
          <w:szCs w:val="48"/>
        </w:rPr>
        <w:t xml:space="preserve"> : </w:t>
      </w:r>
      <w:r w:rsidRPr="00873F20">
        <w:rPr>
          <w:caps/>
          <w:sz w:val="48"/>
          <w:szCs w:val="48"/>
        </w:rPr>
        <w:t xml:space="preserve">DU PAYS DE GALLES </w:t>
      </w:r>
    </w:p>
    <w:p w14:paraId="0547ABCD" w14:textId="13FDB470" w:rsidR="00D55FEA" w:rsidRPr="00873F20" w:rsidRDefault="00C20C89" w:rsidP="00D55FEA">
      <w:pPr>
        <w:pBdr>
          <w:top w:val="single" w:sz="18" w:space="1" w:color="auto"/>
          <w:bottom w:val="single" w:sz="18" w:space="1" w:color="auto"/>
        </w:pBdr>
        <w:jc w:val="center"/>
        <w:rPr>
          <w:caps/>
          <w:sz w:val="48"/>
          <w:szCs w:val="48"/>
        </w:rPr>
      </w:pPr>
      <w:r w:rsidRPr="00873F20">
        <w:rPr>
          <w:caps/>
          <w:sz w:val="48"/>
          <w:szCs w:val="48"/>
        </w:rPr>
        <w:t>À</w:t>
      </w:r>
      <w:r w:rsidR="00AA693B" w:rsidRPr="00873F20">
        <w:rPr>
          <w:caps/>
          <w:sz w:val="48"/>
          <w:szCs w:val="48"/>
        </w:rPr>
        <w:t xml:space="preserve"> </w:t>
      </w:r>
      <w:r w:rsidR="00D55FEA" w:rsidRPr="00873F20">
        <w:rPr>
          <w:caps/>
          <w:sz w:val="48"/>
          <w:szCs w:val="48"/>
        </w:rPr>
        <w:t xml:space="preserve">VARSOVIE </w:t>
      </w:r>
    </w:p>
    <w:p w14:paraId="29969DC2" w14:textId="77777777" w:rsidR="001E295B" w:rsidRPr="00873F20" w:rsidRDefault="001E295B" w:rsidP="00D55FEA">
      <w:pPr>
        <w:pBdr>
          <w:top w:val="single" w:sz="18" w:space="1" w:color="auto"/>
          <w:bottom w:val="single" w:sz="18" w:space="1" w:color="auto"/>
        </w:pBdr>
        <w:jc w:val="center"/>
        <w:rPr>
          <w:sz w:val="48"/>
          <w:szCs w:val="48"/>
        </w:rPr>
      </w:pPr>
    </w:p>
    <w:p w14:paraId="122EDD7E" w14:textId="77777777" w:rsidR="001E295B" w:rsidRPr="00873F20" w:rsidRDefault="001E295B" w:rsidP="00D55FEA">
      <w:pPr>
        <w:jc w:val="center"/>
        <w:rPr>
          <w:sz w:val="28"/>
        </w:rPr>
      </w:pPr>
    </w:p>
    <w:p w14:paraId="2AF3DF3A" w14:textId="77777777" w:rsidR="00224895" w:rsidRPr="00873F20" w:rsidRDefault="00224895" w:rsidP="00D55FEA">
      <w:pPr>
        <w:jc w:val="center"/>
        <w:rPr>
          <w:sz w:val="28"/>
        </w:rPr>
      </w:pPr>
    </w:p>
    <w:p w14:paraId="68C76D3D" w14:textId="42E4E56A" w:rsidR="001E295B" w:rsidRPr="00873F20" w:rsidRDefault="004F5260" w:rsidP="00D55FEA">
      <w:pPr>
        <w:jc w:val="center"/>
        <w:rPr>
          <w:caps/>
          <w:sz w:val="36"/>
        </w:rPr>
      </w:pPr>
      <w:r w:rsidRPr="00873F20">
        <w:rPr>
          <w:caps/>
          <w:sz w:val="40"/>
        </w:rPr>
        <w:t>RAPPORT GÉNÉ</w:t>
      </w:r>
      <w:r w:rsidR="00566EDA" w:rsidRPr="00873F20">
        <w:rPr>
          <w:caps/>
          <w:sz w:val="40"/>
        </w:rPr>
        <w:t xml:space="preserve">RAL </w:t>
      </w:r>
    </w:p>
    <w:p w14:paraId="45B6ADB4" w14:textId="77777777" w:rsidR="001E295B" w:rsidRPr="00873F20" w:rsidRDefault="001E295B" w:rsidP="00D55FEA">
      <w:pPr>
        <w:jc w:val="center"/>
        <w:rPr>
          <w:sz w:val="28"/>
        </w:rPr>
      </w:pPr>
    </w:p>
    <w:p w14:paraId="0C32A57D" w14:textId="77777777" w:rsidR="001E295B" w:rsidRPr="00873F20" w:rsidRDefault="00D55FEA" w:rsidP="00D55FEA">
      <w:pPr>
        <w:jc w:val="center"/>
        <w:rPr>
          <w:b/>
          <w:i/>
          <w:sz w:val="36"/>
        </w:rPr>
      </w:pPr>
      <w:r w:rsidRPr="00873F20">
        <w:rPr>
          <w:b/>
          <w:sz w:val="36"/>
        </w:rPr>
        <w:t>Joseph A. DAY</w:t>
      </w:r>
      <w:r w:rsidRPr="00873F20">
        <w:rPr>
          <w:b/>
          <w:i/>
          <w:sz w:val="36"/>
        </w:rPr>
        <w:t xml:space="preserve"> </w:t>
      </w:r>
      <w:r w:rsidRPr="00C60DC6">
        <w:rPr>
          <w:b/>
          <w:sz w:val="36"/>
        </w:rPr>
        <w:t>(Canada)</w:t>
      </w:r>
    </w:p>
    <w:p w14:paraId="0E0370C0" w14:textId="77777777" w:rsidR="001E295B" w:rsidRPr="00873F20" w:rsidRDefault="001E295B" w:rsidP="00D55FEA">
      <w:pPr>
        <w:jc w:val="center"/>
        <w:rPr>
          <w:b/>
          <w:i/>
          <w:sz w:val="36"/>
        </w:rPr>
      </w:pPr>
      <w:r w:rsidRPr="00873F20">
        <w:rPr>
          <w:b/>
          <w:i/>
          <w:sz w:val="36"/>
        </w:rPr>
        <w:t>Rapporteur</w:t>
      </w:r>
      <w:r w:rsidR="00566EDA" w:rsidRPr="00873F20">
        <w:rPr>
          <w:b/>
          <w:i/>
          <w:sz w:val="36"/>
        </w:rPr>
        <w:t xml:space="preserve"> général</w:t>
      </w:r>
    </w:p>
    <w:p w14:paraId="39857E81" w14:textId="77777777" w:rsidR="001E295B" w:rsidRPr="00873F20" w:rsidRDefault="001E295B" w:rsidP="00D55FEA">
      <w:pPr>
        <w:ind w:right="454"/>
        <w:jc w:val="center"/>
      </w:pPr>
    </w:p>
    <w:p w14:paraId="5152F0A8" w14:textId="741BC2E2" w:rsidR="001E295B" w:rsidRDefault="001E295B" w:rsidP="00D55FEA">
      <w:pPr>
        <w:ind w:right="454"/>
        <w:jc w:val="center"/>
      </w:pPr>
    </w:p>
    <w:p w14:paraId="681049D7" w14:textId="53EDB31E" w:rsidR="00873F20" w:rsidRDefault="00873F20" w:rsidP="00D55FEA">
      <w:pPr>
        <w:ind w:right="454"/>
        <w:jc w:val="center"/>
      </w:pPr>
    </w:p>
    <w:p w14:paraId="3BE4C300" w14:textId="3F533CE8" w:rsidR="006B431E" w:rsidRDefault="006B431E" w:rsidP="00D55FEA">
      <w:pPr>
        <w:ind w:right="454"/>
        <w:jc w:val="center"/>
      </w:pPr>
      <w:bookmarkStart w:id="0" w:name="_GoBack"/>
      <w:bookmarkEnd w:id="0"/>
    </w:p>
    <w:p w14:paraId="314A0A91" w14:textId="2CDAF685" w:rsidR="00873F20" w:rsidRDefault="00873F20" w:rsidP="00D55FEA">
      <w:pPr>
        <w:ind w:right="454"/>
        <w:jc w:val="center"/>
      </w:pPr>
    </w:p>
    <w:p w14:paraId="7C030204" w14:textId="3B470F7A" w:rsidR="00CB27A5" w:rsidRPr="00873F20" w:rsidRDefault="00CB27A5" w:rsidP="00D55FEA">
      <w:pPr>
        <w:ind w:right="454"/>
        <w:jc w:val="center"/>
      </w:pPr>
    </w:p>
    <w:p w14:paraId="75E7360B" w14:textId="75E06659" w:rsidR="002E280B" w:rsidRDefault="002E280B" w:rsidP="00D55FEA">
      <w:pPr>
        <w:ind w:right="454"/>
        <w:jc w:val="center"/>
      </w:pPr>
    </w:p>
    <w:p w14:paraId="3CC36BBA" w14:textId="3008A11A" w:rsidR="00F22FFB" w:rsidRDefault="00F22FFB" w:rsidP="00D55FEA">
      <w:pPr>
        <w:ind w:right="454"/>
        <w:jc w:val="center"/>
      </w:pPr>
    </w:p>
    <w:p w14:paraId="561936D0" w14:textId="2058B7A2" w:rsidR="00F22FFB" w:rsidRDefault="00F22FFB" w:rsidP="00D55FEA">
      <w:pPr>
        <w:ind w:right="454"/>
        <w:jc w:val="center"/>
      </w:pPr>
    </w:p>
    <w:p w14:paraId="0689952D" w14:textId="51382FC3" w:rsidR="00F22FFB" w:rsidRDefault="00F22FFB" w:rsidP="00D55FEA">
      <w:pPr>
        <w:ind w:right="454"/>
        <w:jc w:val="center"/>
      </w:pPr>
    </w:p>
    <w:p w14:paraId="1CC19742" w14:textId="5094F204" w:rsidR="00F22FFB" w:rsidRPr="00873F20" w:rsidRDefault="00F22FFB" w:rsidP="00D55FEA">
      <w:pPr>
        <w:ind w:right="454"/>
        <w:jc w:val="center"/>
      </w:pPr>
    </w:p>
    <w:p w14:paraId="42113C1B" w14:textId="31EAA911" w:rsidR="001E295B" w:rsidRPr="00873F20" w:rsidRDefault="00687640" w:rsidP="00D55FEA">
      <w:pPr>
        <w:tabs>
          <w:tab w:val="right" w:pos="9639"/>
        </w:tabs>
      </w:pPr>
      <w:r w:rsidRPr="00873F20">
        <w:t>www.nato-pa.int</w:t>
      </w:r>
      <w:r w:rsidR="001E295B" w:rsidRPr="00873F20">
        <w:tab/>
      </w:r>
      <w:r w:rsidR="00FC6E48">
        <w:t>20</w:t>
      </w:r>
      <w:r w:rsidR="00AA693B" w:rsidRPr="00873F20">
        <w:t xml:space="preserve"> </w:t>
      </w:r>
      <w:r w:rsidR="00CB27A5">
        <w:t>nov</w:t>
      </w:r>
      <w:r w:rsidR="00AA693B" w:rsidRPr="00873F20">
        <w:t>embre</w:t>
      </w:r>
      <w:r w:rsidR="00D55FEA" w:rsidRPr="00873F20">
        <w:t xml:space="preserve"> 2016</w:t>
      </w:r>
    </w:p>
    <w:p w14:paraId="222EF5B0" w14:textId="77777777" w:rsidR="001E295B" w:rsidRPr="00873F20" w:rsidRDefault="001E295B" w:rsidP="00D55FEA">
      <w:pPr>
        <w:ind w:right="1871"/>
        <w:sectPr w:rsidR="001E295B" w:rsidRPr="00873F20" w:rsidSect="00005C58">
          <w:headerReference w:type="even" r:id="rId9"/>
          <w:footerReference w:type="default" r:id="rId10"/>
          <w:headerReference w:type="first" r:id="rId11"/>
          <w:pgSz w:w="11907" w:h="16840" w:code="9"/>
          <w:pgMar w:top="567" w:right="1134" w:bottom="1134" w:left="1134" w:header="850" w:footer="567" w:gutter="0"/>
          <w:pgNumType w:fmt="lowerRoman" w:start="1"/>
          <w:cols w:space="720"/>
          <w:titlePg/>
          <w:docGrid w:linePitch="299"/>
        </w:sectPr>
      </w:pPr>
    </w:p>
    <w:p w14:paraId="7E9429B0" w14:textId="77777777" w:rsidR="001E295B" w:rsidRPr="00873F20" w:rsidRDefault="001E295B" w:rsidP="00D55FEA">
      <w:pPr>
        <w:pStyle w:val="Heading6"/>
        <w:rPr>
          <w:sz w:val="24"/>
        </w:rPr>
      </w:pPr>
      <w:bookmarkStart w:id="1" w:name="_Toc7339491"/>
      <w:bookmarkStart w:id="2" w:name="_Toc7403653"/>
      <w:r w:rsidRPr="00873F20">
        <w:rPr>
          <w:sz w:val="24"/>
        </w:rPr>
        <w:lastRenderedPageBreak/>
        <w:t xml:space="preserve">TABLE </w:t>
      </w:r>
      <w:r w:rsidR="00566EDA" w:rsidRPr="00873F20">
        <w:rPr>
          <w:sz w:val="24"/>
        </w:rPr>
        <w:t>DES MATI</w:t>
      </w:r>
      <w:r w:rsidR="00B70B89" w:rsidRPr="00873F20">
        <w:rPr>
          <w:sz w:val="24"/>
        </w:rPr>
        <w:t>È</w:t>
      </w:r>
      <w:r w:rsidR="00566EDA" w:rsidRPr="00873F20">
        <w:rPr>
          <w:sz w:val="24"/>
        </w:rPr>
        <w:t>RES</w:t>
      </w:r>
      <w:bookmarkEnd w:id="1"/>
      <w:bookmarkEnd w:id="2"/>
    </w:p>
    <w:p w14:paraId="15105374" w14:textId="77777777" w:rsidR="001E295B" w:rsidRPr="00873F20" w:rsidRDefault="001E295B" w:rsidP="00D55FEA">
      <w:pPr>
        <w:pStyle w:val="Footer"/>
        <w:tabs>
          <w:tab w:val="clear" w:pos="4536"/>
          <w:tab w:val="clear" w:pos="9072"/>
        </w:tabs>
      </w:pPr>
    </w:p>
    <w:p w14:paraId="2E5E4F33" w14:textId="77777777" w:rsidR="001E295B" w:rsidRPr="00873F20" w:rsidRDefault="001E295B" w:rsidP="00D55FEA"/>
    <w:p w14:paraId="73112AFF" w14:textId="77777777" w:rsidR="001E295B" w:rsidRPr="00873F20" w:rsidRDefault="001E295B" w:rsidP="00D55FEA"/>
    <w:p w14:paraId="74AB5FCF" w14:textId="77777777" w:rsidR="00DD6AB2" w:rsidRPr="00322FF5" w:rsidRDefault="00DD6AB2" w:rsidP="00D55FEA"/>
    <w:p w14:paraId="6D878D0B" w14:textId="77777777" w:rsidR="00DD6AB2" w:rsidRPr="00322FF5" w:rsidRDefault="00DD6AB2" w:rsidP="00D55FEA"/>
    <w:p w14:paraId="6D397400" w14:textId="0A4E4B01" w:rsidR="007C2116" w:rsidRPr="00322FF5" w:rsidRDefault="00DD6AB2"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r w:rsidRPr="00322FF5">
        <w:rPr>
          <w:b w:val="0"/>
          <w:i w:val="0"/>
          <w:sz w:val="22"/>
          <w:szCs w:val="22"/>
        </w:rPr>
        <w:fldChar w:fldCharType="begin"/>
      </w:r>
      <w:r w:rsidRPr="00322FF5">
        <w:rPr>
          <w:b w:val="0"/>
          <w:i w:val="0"/>
          <w:sz w:val="22"/>
          <w:szCs w:val="22"/>
        </w:rPr>
        <w:instrText xml:space="preserve"> TOC \o "1-3" \h \z \u </w:instrText>
      </w:r>
      <w:r w:rsidRPr="00322FF5">
        <w:rPr>
          <w:b w:val="0"/>
          <w:i w:val="0"/>
          <w:sz w:val="22"/>
          <w:szCs w:val="22"/>
        </w:rPr>
        <w:fldChar w:fldCharType="separate"/>
      </w:r>
      <w:hyperlink w:anchor="_Toc464810710" w:history="1">
        <w:r w:rsidR="007C2116" w:rsidRPr="00322FF5">
          <w:rPr>
            <w:rStyle w:val="Hyperlink"/>
            <w:b w:val="0"/>
            <w:i w:val="0"/>
            <w:caps w:val="0"/>
            <w:sz w:val="22"/>
            <w:szCs w:val="22"/>
          </w:rPr>
          <w:t>I.</w:t>
        </w:r>
        <w:r w:rsidR="007C2116" w:rsidRPr="00322FF5">
          <w:rPr>
            <w:rFonts w:asciiTheme="minorHAnsi" w:eastAsiaTheme="minorEastAsia" w:hAnsiTheme="minorHAnsi" w:cstheme="minorBidi"/>
            <w:b w:val="0"/>
            <w:bCs w:val="0"/>
            <w:i w:val="0"/>
            <w:iCs w:val="0"/>
            <w:caps w:val="0"/>
            <w:sz w:val="22"/>
            <w:szCs w:val="22"/>
            <w:lang w:val="en-GB" w:eastAsia="en-GB"/>
          </w:rPr>
          <w:tab/>
        </w:r>
        <w:r w:rsidR="007C2116" w:rsidRPr="00322FF5">
          <w:rPr>
            <w:rStyle w:val="Hyperlink"/>
            <w:b w:val="0"/>
            <w:i w:val="0"/>
            <w:caps w:val="0"/>
            <w:sz w:val="22"/>
            <w:szCs w:val="22"/>
          </w:rPr>
          <w:t>INTRODUCTION</w:t>
        </w:r>
        <w:r w:rsidR="007C2116" w:rsidRPr="00322FF5">
          <w:rPr>
            <w:b w:val="0"/>
            <w:i w:val="0"/>
            <w:caps w:val="0"/>
            <w:webHidden/>
            <w:sz w:val="22"/>
            <w:szCs w:val="22"/>
          </w:rPr>
          <w:tab/>
        </w:r>
        <w:r w:rsidR="007C2116" w:rsidRPr="00322FF5">
          <w:rPr>
            <w:b w:val="0"/>
            <w:i w:val="0"/>
            <w:webHidden/>
            <w:sz w:val="22"/>
            <w:szCs w:val="22"/>
          </w:rPr>
          <w:fldChar w:fldCharType="begin"/>
        </w:r>
        <w:r w:rsidR="007C2116" w:rsidRPr="00322FF5">
          <w:rPr>
            <w:b w:val="0"/>
            <w:i w:val="0"/>
            <w:webHidden/>
            <w:sz w:val="22"/>
            <w:szCs w:val="22"/>
          </w:rPr>
          <w:instrText xml:space="preserve"> PAGEREF _Toc464810710 \h </w:instrText>
        </w:r>
        <w:r w:rsidR="007C2116" w:rsidRPr="00322FF5">
          <w:rPr>
            <w:b w:val="0"/>
            <w:i w:val="0"/>
            <w:webHidden/>
            <w:sz w:val="22"/>
            <w:szCs w:val="22"/>
          </w:rPr>
        </w:r>
        <w:r w:rsidR="007C2116" w:rsidRPr="00322FF5">
          <w:rPr>
            <w:b w:val="0"/>
            <w:i w:val="0"/>
            <w:webHidden/>
            <w:sz w:val="22"/>
            <w:szCs w:val="22"/>
          </w:rPr>
          <w:fldChar w:fldCharType="separate"/>
        </w:r>
        <w:r w:rsidR="00122DF8">
          <w:rPr>
            <w:b w:val="0"/>
            <w:i w:val="0"/>
            <w:webHidden/>
            <w:sz w:val="22"/>
            <w:szCs w:val="22"/>
          </w:rPr>
          <w:t>1</w:t>
        </w:r>
        <w:r w:rsidR="007C2116" w:rsidRPr="00322FF5">
          <w:rPr>
            <w:b w:val="0"/>
            <w:i w:val="0"/>
            <w:webHidden/>
            <w:sz w:val="22"/>
            <w:szCs w:val="22"/>
          </w:rPr>
          <w:fldChar w:fldCharType="end"/>
        </w:r>
      </w:hyperlink>
    </w:p>
    <w:p w14:paraId="013ADC8E" w14:textId="77777777" w:rsidR="007C2116" w:rsidRPr="00322FF5" w:rsidRDefault="007C2116" w:rsidP="007C2116">
      <w:pPr>
        <w:pStyle w:val="TOC1"/>
        <w:tabs>
          <w:tab w:val="clear" w:pos="9629"/>
          <w:tab w:val="right" w:leader="dot" w:pos="9214"/>
        </w:tabs>
        <w:ind w:right="992"/>
        <w:rPr>
          <w:rStyle w:val="Hyperlink"/>
          <w:b w:val="0"/>
          <w:i w:val="0"/>
          <w:sz w:val="22"/>
          <w:szCs w:val="22"/>
        </w:rPr>
      </w:pPr>
    </w:p>
    <w:p w14:paraId="50241D9C" w14:textId="7EB2784B" w:rsidR="007C2116" w:rsidRPr="00322FF5" w:rsidRDefault="00122DF8"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hyperlink w:anchor="_Toc464810711" w:history="1">
        <w:r w:rsidR="007C2116" w:rsidRPr="00322FF5">
          <w:rPr>
            <w:rStyle w:val="Hyperlink"/>
            <w:b w:val="0"/>
            <w:i w:val="0"/>
            <w:caps w:val="0"/>
            <w:sz w:val="22"/>
            <w:szCs w:val="22"/>
          </w:rPr>
          <w:t>II.</w:t>
        </w:r>
        <w:r w:rsidR="007C2116" w:rsidRPr="00322FF5">
          <w:rPr>
            <w:rFonts w:asciiTheme="minorHAnsi" w:eastAsiaTheme="minorEastAsia" w:hAnsiTheme="minorHAnsi" w:cstheme="minorBidi"/>
            <w:b w:val="0"/>
            <w:bCs w:val="0"/>
            <w:i w:val="0"/>
            <w:iCs w:val="0"/>
            <w:caps w:val="0"/>
            <w:sz w:val="22"/>
            <w:szCs w:val="22"/>
            <w:lang w:val="en-GB" w:eastAsia="en-GB"/>
          </w:rPr>
          <w:tab/>
        </w:r>
        <w:r w:rsidR="007C2116" w:rsidRPr="00322FF5">
          <w:rPr>
            <w:rStyle w:val="Hyperlink"/>
            <w:b w:val="0"/>
            <w:i w:val="0"/>
            <w:caps w:val="0"/>
            <w:sz w:val="22"/>
            <w:szCs w:val="22"/>
          </w:rPr>
          <w:t>RAPPEL HISTORIQUE ET INITIATIVES DE LA COMMISSION DE LA DÉFENSE ET DE LA SECURITÉ</w:t>
        </w:r>
        <w:r w:rsidR="007C2116" w:rsidRPr="00322FF5">
          <w:rPr>
            <w:b w:val="0"/>
            <w:i w:val="0"/>
            <w:caps w:val="0"/>
            <w:webHidden/>
            <w:sz w:val="22"/>
            <w:szCs w:val="22"/>
          </w:rPr>
          <w:tab/>
        </w:r>
        <w:r w:rsidR="007C2116" w:rsidRPr="00322FF5">
          <w:rPr>
            <w:b w:val="0"/>
            <w:i w:val="0"/>
            <w:webHidden/>
            <w:sz w:val="22"/>
            <w:szCs w:val="22"/>
          </w:rPr>
          <w:fldChar w:fldCharType="begin"/>
        </w:r>
        <w:r w:rsidR="007C2116" w:rsidRPr="00322FF5">
          <w:rPr>
            <w:b w:val="0"/>
            <w:i w:val="0"/>
            <w:webHidden/>
            <w:sz w:val="22"/>
            <w:szCs w:val="22"/>
          </w:rPr>
          <w:instrText xml:space="preserve"> PAGEREF _Toc464810711 \h </w:instrText>
        </w:r>
        <w:r w:rsidR="007C2116" w:rsidRPr="00322FF5">
          <w:rPr>
            <w:b w:val="0"/>
            <w:i w:val="0"/>
            <w:webHidden/>
            <w:sz w:val="22"/>
            <w:szCs w:val="22"/>
          </w:rPr>
        </w:r>
        <w:r w:rsidR="007C2116" w:rsidRPr="00322FF5">
          <w:rPr>
            <w:b w:val="0"/>
            <w:i w:val="0"/>
            <w:webHidden/>
            <w:sz w:val="22"/>
            <w:szCs w:val="22"/>
          </w:rPr>
          <w:fldChar w:fldCharType="separate"/>
        </w:r>
        <w:r>
          <w:rPr>
            <w:b w:val="0"/>
            <w:i w:val="0"/>
            <w:webHidden/>
            <w:sz w:val="22"/>
            <w:szCs w:val="22"/>
          </w:rPr>
          <w:t>2</w:t>
        </w:r>
        <w:r w:rsidR="007C2116" w:rsidRPr="00322FF5">
          <w:rPr>
            <w:b w:val="0"/>
            <w:i w:val="0"/>
            <w:webHidden/>
            <w:sz w:val="22"/>
            <w:szCs w:val="22"/>
          </w:rPr>
          <w:fldChar w:fldCharType="end"/>
        </w:r>
      </w:hyperlink>
    </w:p>
    <w:p w14:paraId="1490BC05" w14:textId="4DB2F0FB"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12" w:history="1">
        <w:r w:rsidRPr="00322FF5">
          <w:rPr>
            <w:rStyle w:val="Hyperlink"/>
          </w:rPr>
          <w:t>A.</w:t>
        </w:r>
        <w:r w:rsidRPr="00322FF5">
          <w:rPr>
            <w:rFonts w:asciiTheme="minorHAnsi" w:eastAsiaTheme="minorEastAsia" w:hAnsiTheme="minorHAnsi" w:cstheme="minorBidi"/>
            <w:lang w:val="en-GB" w:eastAsia="en-GB"/>
          </w:rPr>
          <w:tab/>
        </w:r>
        <w:r w:rsidRPr="00322FF5">
          <w:rPr>
            <w:rStyle w:val="Hyperlink"/>
          </w:rPr>
          <w:t>RÉASSURANCE ET NOUVELLE POSTURE DE DISSUASION</w:t>
        </w:r>
        <w:r w:rsidRPr="00322FF5">
          <w:rPr>
            <w:webHidden/>
          </w:rPr>
          <w:tab/>
        </w:r>
        <w:r w:rsidRPr="00322FF5">
          <w:rPr>
            <w:webHidden/>
          </w:rPr>
          <w:fldChar w:fldCharType="begin"/>
        </w:r>
        <w:r w:rsidRPr="00322FF5">
          <w:rPr>
            <w:webHidden/>
          </w:rPr>
          <w:instrText xml:space="preserve"> PAGEREF _Toc464810712 \h </w:instrText>
        </w:r>
        <w:r w:rsidRPr="00322FF5">
          <w:rPr>
            <w:webHidden/>
          </w:rPr>
        </w:r>
        <w:r w:rsidRPr="00322FF5">
          <w:rPr>
            <w:webHidden/>
          </w:rPr>
          <w:fldChar w:fldCharType="separate"/>
        </w:r>
        <w:r w:rsidR="00122DF8">
          <w:rPr>
            <w:webHidden/>
          </w:rPr>
          <w:t>3</w:t>
        </w:r>
        <w:r w:rsidRPr="00322FF5">
          <w:rPr>
            <w:webHidden/>
          </w:rPr>
          <w:fldChar w:fldCharType="end"/>
        </w:r>
      </w:hyperlink>
    </w:p>
    <w:p w14:paraId="0F89D733" w14:textId="24D598B6"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13" w:history="1">
        <w:r w:rsidRPr="00322FF5">
          <w:rPr>
            <w:rStyle w:val="Hyperlink"/>
          </w:rPr>
          <w:t>B.</w:t>
        </w:r>
        <w:r w:rsidRPr="00322FF5">
          <w:rPr>
            <w:rFonts w:asciiTheme="minorHAnsi" w:eastAsiaTheme="minorEastAsia" w:hAnsiTheme="minorHAnsi" w:cstheme="minorBidi"/>
            <w:lang w:val="en-GB" w:eastAsia="en-GB"/>
          </w:rPr>
          <w:tab/>
        </w:r>
        <w:r w:rsidRPr="00322FF5">
          <w:rPr>
            <w:rStyle w:val="Hyperlink"/>
          </w:rPr>
          <w:t>DISSUASION</w:t>
        </w:r>
        <w:r w:rsidRPr="00322FF5">
          <w:rPr>
            <w:webHidden/>
          </w:rPr>
          <w:tab/>
        </w:r>
        <w:r w:rsidRPr="00322FF5">
          <w:rPr>
            <w:webHidden/>
          </w:rPr>
          <w:fldChar w:fldCharType="begin"/>
        </w:r>
        <w:r w:rsidRPr="00322FF5">
          <w:rPr>
            <w:webHidden/>
          </w:rPr>
          <w:instrText xml:space="preserve"> PAGEREF _Toc464810713 \h </w:instrText>
        </w:r>
        <w:r w:rsidRPr="00322FF5">
          <w:rPr>
            <w:webHidden/>
          </w:rPr>
        </w:r>
        <w:r w:rsidRPr="00322FF5">
          <w:rPr>
            <w:webHidden/>
          </w:rPr>
          <w:fldChar w:fldCharType="separate"/>
        </w:r>
        <w:r w:rsidR="00122DF8">
          <w:rPr>
            <w:webHidden/>
          </w:rPr>
          <w:t>3</w:t>
        </w:r>
        <w:r w:rsidRPr="00322FF5">
          <w:rPr>
            <w:webHidden/>
          </w:rPr>
          <w:fldChar w:fldCharType="end"/>
        </w:r>
      </w:hyperlink>
    </w:p>
    <w:p w14:paraId="61DAC232" w14:textId="77777777" w:rsidR="007C2116" w:rsidRPr="00322FF5" w:rsidRDefault="007C2116" w:rsidP="007C2116">
      <w:pPr>
        <w:pStyle w:val="TOC1"/>
        <w:tabs>
          <w:tab w:val="clear" w:pos="9629"/>
          <w:tab w:val="right" w:leader="dot" w:pos="9214"/>
        </w:tabs>
        <w:ind w:right="992"/>
        <w:rPr>
          <w:rStyle w:val="Hyperlink"/>
          <w:b w:val="0"/>
          <w:i w:val="0"/>
          <w:sz w:val="22"/>
          <w:szCs w:val="22"/>
        </w:rPr>
      </w:pPr>
    </w:p>
    <w:p w14:paraId="361168AA" w14:textId="6D5D3C73" w:rsidR="007C2116" w:rsidRPr="00322FF5" w:rsidRDefault="00122DF8"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hyperlink w:anchor="_Toc464810714" w:history="1">
        <w:r w:rsidR="007C2116" w:rsidRPr="00322FF5">
          <w:rPr>
            <w:rStyle w:val="Hyperlink"/>
            <w:b w:val="0"/>
            <w:i w:val="0"/>
            <w:caps w:val="0"/>
            <w:sz w:val="22"/>
            <w:szCs w:val="22"/>
          </w:rPr>
          <w:t>III.</w:t>
        </w:r>
        <w:r w:rsidR="007C2116" w:rsidRPr="00322FF5">
          <w:rPr>
            <w:rFonts w:asciiTheme="minorHAnsi" w:eastAsiaTheme="minorEastAsia" w:hAnsiTheme="minorHAnsi" w:cstheme="minorBidi"/>
            <w:b w:val="0"/>
            <w:bCs w:val="0"/>
            <w:i w:val="0"/>
            <w:iCs w:val="0"/>
            <w:caps w:val="0"/>
            <w:sz w:val="22"/>
            <w:szCs w:val="22"/>
            <w:lang w:val="en-GB" w:eastAsia="en-GB"/>
          </w:rPr>
          <w:tab/>
        </w:r>
        <w:r w:rsidR="007C2116" w:rsidRPr="00322FF5">
          <w:rPr>
            <w:rStyle w:val="Hyperlink"/>
            <w:b w:val="0"/>
            <w:i w:val="0"/>
            <w:caps w:val="0"/>
            <w:sz w:val="22"/>
            <w:szCs w:val="22"/>
          </w:rPr>
          <w:t>DU PAYS DE GALLES À VARSOVIE : REMISE EN QUESTION DES HYPOTHÈSES DE L’APRÈS-GUERRE FROIDE – ADAPTATION, RÉASSURANCE ET DISSUASION</w:t>
        </w:r>
        <w:r w:rsidR="007C2116" w:rsidRPr="00322FF5">
          <w:rPr>
            <w:b w:val="0"/>
            <w:i w:val="0"/>
            <w:caps w:val="0"/>
            <w:webHidden/>
            <w:sz w:val="22"/>
            <w:szCs w:val="22"/>
          </w:rPr>
          <w:tab/>
        </w:r>
        <w:r w:rsidR="007C2116" w:rsidRPr="00322FF5">
          <w:rPr>
            <w:b w:val="0"/>
            <w:i w:val="0"/>
            <w:webHidden/>
            <w:sz w:val="22"/>
            <w:szCs w:val="22"/>
          </w:rPr>
          <w:fldChar w:fldCharType="begin"/>
        </w:r>
        <w:r w:rsidR="007C2116" w:rsidRPr="00322FF5">
          <w:rPr>
            <w:b w:val="0"/>
            <w:i w:val="0"/>
            <w:webHidden/>
            <w:sz w:val="22"/>
            <w:szCs w:val="22"/>
          </w:rPr>
          <w:instrText xml:space="preserve"> PAGEREF _Toc464810714 \h </w:instrText>
        </w:r>
        <w:r w:rsidR="007C2116" w:rsidRPr="00322FF5">
          <w:rPr>
            <w:b w:val="0"/>
            <w:i w:val="0"/>
            <w:webHidden/>
            <w:sz w:val="22"/>
            <w:szCs w:val="22"/>
          </w:rPr>
        </w:r>
        <w:r w:rsidR="007C2116" w:rsidRPr="00322FF5">
          <w:rPr>
            <w:b w:val="0"/>
            <w:i w:val="0"/>
            <w:webHidden/>
            <w:sz w:val="22"/>
            <w:szCs w:val="22"/>
          </w:rPr>
          <w:fldChar w:fldCharType="separate"/>
        </w:r>
        <w:r>
          <w:rPr>
            <w:b w:val="0"/>
            <w:i w:val="0"/>
            <w:webHidden/>
            <w:sz w:val="22"/>
            <w:szCs w:val="22"/>
          </w:rPr>
          <w:t>4</w:t>
        </w:r>
        <w:r w:rsidR="007C2116" w:rsidRPr="00322FF5">
          <w:rPr>
            <w:b w:val="0"/>
            <w:i w:val="0"/>
            <w:webHidden/>
            <w:sz w:val="22"/>
            <w:szCs w:val="22"/>
          </w:rPr>
          <w:fldChar w:fldCharType="end"/>
        </w:r>
      </w:hyperlink>
    </w:p>
    <w:p w14:paraId="54E910E2" w14:textId="6487D285"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15" w:history="1">
        <w:r w:rsidRPr="00322FF5">
          <w:rPr>
            <w:rStyle w:val="Hyperlink"/>
          </w:rPr>
          <w:t>A.</w:t>
        </w:r>
        <w:r w:rsidRPr="00322FF5">
          <w:rPr>
            <w:rFonts w:asciiTheme="minorHAnsi" w:eastAsiaTheme="minorEastAsia" w:hAnsiTheme="minorHAnsi" w:cstheme="minorBidi"/>
            <w:lang w:val="en-GB" w:eastAsia="en-GB"/>
          </w:rPr>
          <w:tab/>
        </w:r>
        <w:r w:rsidRPr="00322FF5">
          <w:rPr>
            <w:rStyle w:val="Hyperlink"/>
          </w:rPr>
          <w:t>OTAN ET RUSSIE : RASSURER ET RENFORCER LE FLANC EST</w:t>
        </w:r>
        <w:r w:rsidRPr="00322FF5">
          <w:rPr>
            <w:webHidden/>
          </w:rPr>
          <w:tab/>
        </w:r>
        <w:r w:rsidRPr="00322FF5">
          <w:rPr>
            <w:webHidden/>
          </w:rPr>
          <w:fldChar w:fldCharType="begin"/>
        </w:r>
        <w:r w:rsidRPr="00322FF5">
          <w:rPr>
            <w:webHidden/>
          </w:rPr>
          <w:instrText xml:space="preserve"> PAGEREF _Toc464810715 \h </w:instrText>
        </w:r>
        <w:r w:rsidRPr="00322FF5">
          <w:rPr>
            <w:webHidden/>
          </w:rPr>
        </w:r>
        <w:r w:rsidRPr="00322FF5">
          <w:rPr>
            <w:webHidden/>
          </w:rPr>
          <w:fldChar w:fldCharType="separate"/>
        </w:r>
        <w:r w:rsidR="00122DF8">
          <w:rPr>
            <w:webHidden/>
          </w:rPr>
          <w:t>4</w:t>
        </w:r>
        <w:r w:rsidRPr="00322FF5">
          <w:rPr>
            <w:webHidden/>
          </w:rPr>
          <w:fldChar w:fldCharType="end"/>
        </w:r>
      </w:hyperlink>
    </w:p>
    <w:p w14:paraId="0C3980C0" w14:textId="380B66AD"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16" w:history="1">
        <w:r w:rsidRPr="00322FF5">
          <w:rPr>
            <w:rStyle w:val="Hyperlink"/>
          </w:rPr>
          <w:t>B.</w:t>
        </w:r>
        <w:r w:rsidRPr="00322FF5">
          <w:rPr>
            <w:rFonts w:asciiTheme="minorHAnsi" w:eastAsiaTheme="minorEastAsia" w:hAnsiTheme="minorHAnsi" w:cstheme="minorBidi"/>
            <w:lang w:val="en-GB" w:eastAsia="en-GB"/>
          </w:rPr>
          <w:tab/>
        </w:r>
        <w:r w:rsidRPr="00322FF5">
          <w:rPr>
            <w:rStyle w:val="Hyperlink"/>
          </w:rPr>
          <w:t>L’INITIATIVE DE RÉASSURANCE POUR L’EUROPE (IRE)</w:t>
        </w:r>
        <w:r w:rsidRPr="00322FF5">
          <w:rPr>
            <w:webHidden/>
          </w:rPr>
          <w:tab/>
        </w:r>
        <w:r w:rsidRPr="00322FF5">
          <w:rPr>
            <w:webHidden/>
          </w:rPr>
          <w:fldChar w:fldCharType="begin"/>
        </w:r>
        <w:r w:rsidRPr="00322FF5">
          <w:rPr>
            <w:webHidden/>
          </w:rPr>
          <w:instrText xml:space="preserve"> PAGEREF _Toc464810716 \h </w:instrText>
        </w:r>
        <w:r w:rsidRPr="00322FF5">
          <w:rPr>
            <w:webHidden/>
          </w:rPr>
        </w:r>
        <w:r w:rsidRPr="00322FF5">
          <w:rPr>
            <w:webHidden/>
          </w:rPr>
          <w:fldChar w:fldCharType="separate"/>
        </w:r>
        <w:r w:rsidR="00122DF8">
          <w:rPr>
            <w:webHidden/>
          </w:rPr>
          <w:t>6</w:t>
        </w:r>
        <w:r w:rsidRPr="00322FF5">
          <w:rPr>
            <w:webHidden/>
          </w:rPr>
          <w:fldChar w:fldCharType="end"/>
        </w:r>
      </w:hyperlink>
    </w:p>
    <w:p w14:paraId="150D06A4" w14:textId="3D8C2500"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17" w:history="1">
        <w:r w:rsidRPr="00322FF5">
          <w:rPr>
            <w:rStyle w:val="Hyperlink"/>
          </w:rPr>
          <w:t>C.</w:t>
        </w:r>
        <w:r w:rsidRPr="00322FF5">
          <w:rPr>
            <w:rFonts w:asciiTheme="minorHAnsi" w:eastAsiaTheme="minorEastAsia" w:hAnsiTheme="minorHAnsi" w:cstheme="minorBidi"/>
            <w:lang w:val="en-GB" w:eastAsia="en-GB"/>
          </w:rPr>
          <w:tab/>
        </w:r>
        <w:r w:rsidRPr="00322FF5">
          <w:rPr>
            <w:rStyle w:val="Hyperlink"/>
          </w:rPr>
          <w:t>INTENSIFICATION DES EXERCICES OTAN</w:t>
        </w:r>
        <w:r w:rsidRPr="00322FF5">
          <w:rPr>
            <w:webHidden/>
          </w:rPr>
          <w:tab/>
        </w:r>
        <w:r w:rsidRPr="00322FF5">
          <w:rPr>
            <w:webHidden/>
          </w:rPr>
          <w:fldChar w:fldCharType="begin"/>
        </w:r>
        <w:r w:rsidRPr="00322FF5">
          <w:rPr>
            <w:webHidden/>
          </w:rPr>
          <w:instrText xml:space="preserve"> PAGEREF _Toc464810717 \h </w:instrText>
        </w:r>
        <w:r w:rsidRPr="00322FF5">
          <w:rPr>
            <w:webHidden/>
          </w:rPr>
        </w:r>
        <w:r w:rsidRPr="00322FF5">
          <w:rPr>
            <w:webHidden/>
          </w:rPr>
          <w:fldChar w:fldCharType="separate"/>
        </w:r>
        <w:r w:rsidR="00122DF8">
          <w:rPr>
            <w:webHidden/>
          </w:rPr>
          <w:t>7</w:t>
        </w:r>
        <w:r w:rsidRPr="00322FF5">
          <w:rPr>
            <w:webHidden/>
          </w:rPr>
          <w:fldChar w:fldCharType="end"/>
        </w:r>
      </w:hyperlink>
    </w:p>
    <w:p w14:paraId="6BF1B792" w14:textId="77777777" w:rsidR="007C2116" w:rsidRPr="00322FF5" w:rsidRDefault="007C2116" w:rsidP="007C2116">
      <w:pPr>
        <w:pStyle w:val="TOC1"/>
        <w:tabs>
          <w:tab w:val="clear" w:pos="9629"/>
          <w:tab w:val="right" w:leader="dot" w:pos="9214"/>
        </w:tabs>
        <w:ind w:right="992"/>
        <w:rPr>
          <w:rStyle w:val="Hyperlink"/>
          <w:b w:val="0"/>
          <w:i w:val="0"/>
          <w:sz w:val="22"/>
          <w:szCs w:val="22"/>
        </w:rPr>
      </w:pPr>
    </w:p>
    <w:p w14:paraId="2FC48098" w14:textId="3B179AE9" w:rsidR="007C2116" w:rsidRPr="00322FF5" w:rsidRDefault="00122DF8"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hyperlink w:anchor="_Toc464810718" w:history="1">
        <w:r w:rsidR="007C2116" w:rsidRPr="00322FF5">
          <w:rPr>
            <w:rStyle w:val="Hyperlink"/>
            <w:b w:val="0"/>
            <w:i w:val="0"/>
            <w:caps w:val="0"/>
            <w:sz w:val="22"/>
            <w:szCs w:val="22"/>
          </w:rPr>
          <w:t>IV.</w:t>
        </w:r>
        <w:r w:rsidR="007C2116" w:rsidRPr="00322FF5">
          <w:rPr>
            <w:rFonts w:asciiTheme="minorHAnsi" w:eastAsiaTheme="minorEastAsia" w:hAnsiTheme="minorHAnsi" w:cstheme="minorBidi"/>
            <w:b w:val="0"/>
            <w:bCs w:val="0"/>
            <w:i w:val="0"/>
            <w:iCs w:val="0"/>
            <w:caps w:val="0"/>
            <w:sz w:val="22"/>
            <w:szCs w:val="22"/>
            <w:lang w:val="en-GB" w:eastAsia="en-GB"/>
          </w:rPr>
          <w:tab/>
        </w:r>
        <w:r w:rsidR="007C2116" w:rsidRPr="00322FF5">
          <w:rPr>
            <w:rStyle w:val="Hyperlink"/>
            <w:b w:val="0"/>
            <w:i w:val="0"/>
            <w:caps w:val="0"/>
            <w:sz w:val="22"/>
            <w:szCs w:val="22"/>
          </w:rPr>
          <w:t>ADAPTATIONS EN VUE DE PROJETER LA STABILITÉ ET DE RENFORCER LA PRÉSENCE AVANCÉE</w:t>
        </w:r>
        <w:r w:rsidR="007C2116" w:rsidRPr="00322FF5">
          <w:rPr>
            <w:b w:val="0"/>
            <w:i w:val="0"/>
            <w:caps w:val="0"/>
            <w:webHidden/>
            <w:sz w:val="22"/>
            <w:szCs w:val="22"/>
          </w:rPr>
          <w:tab/>
        </w:r>
        <w:r w:rsidR="007C2116" w:rsidRPr="00322FF5">
          <w:rPr>
            <w:b w:val="0"/>
            <w:i w:val="0"/>
            <w:webHidden/>
            <w:sz w:val="22"/>
            <w:szCs w:val="22"/>
          </w:rPr>
          <w:fldChar w:fldCharType="begin"/>
        </w:r>
        <w:r w:rsidR="007C2116" w:rsidRPr="00322FF5">
          <w:rPr>
            <w:b w:val="0"/>
            <w:i w:val="0"/>
            <w:webHidden/>
            <w:sz w:val="22"/>
            <w:szCs w:val="22"/>
          </w:rPr>
          <w:instrText xml:space="preserve"> PAGEREF _Toc464810718 \h </w:instrText>
        </w:r>
        <w:r w:rsidR="007C2116" w:rsidRPr="00322FF5">
          <w:rPr>
            <w:b w:val="0"/>
            <w:i w:val="0"/>
            <w:webHidden/>
            <w:sz w:val="22"/>
            <w:szCs w:val="22"/>
          </w:rPr>
        </w:r>
        <w:r w:rsidR="007C2116" w:rsidRPr="00322FF5">
          <w:rPr>
            <w:b w:val="0"/>
            <w:i w:val="0"/>
            <w:webHidden/>
            <w:sz w:val="22"/>
            <w:szCs w:val="22"/>
          </w:rPr>
          <w:fldChar w:fldCharType="separate"/>
        </w:r>
        <w:r>
          <w:rPr>
            <w:b w:val="0"/>
            <w:i w:val="0"/>
            <w:webHidden/>
            <w:sz w:val="22"/>
            <w:szCs w:val="22"/>
          </w:rPr>
          <w:t>8</w:t>
        </w:r>
        <w:r w:rsidR="007C2116" w:rsidRPr="00322FF5">
          <w:rPr>
            <w:b w:val="0"/>
            <w:i w:val="0"/>
            <w:webHidden/>
            <w:sz w:val="22"/>
            <w:szCs w:val="22"/>
          </w:rPr>
          <w:fldChar w:fldCharType="end"/>
        </w:r>
      </w:hyperlink>
    </w:p>
    <w:p w14:paraId="208617D8" w14:textId="483F0213"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19" w:history="1">
        <w:r w:rsidRPr="00322FF5">
          <w:rPr>
            <w:rStyle w:val="Hyperlink"/>
          </w:rPr>
          <w:t>A.</w:t>
        </w:r>
        <w:r w:rsidRPr="00322FF5">
          <w:rPr>
            <w:rFonts w:asciiTheme="minorHAnsi" w:eastAsiaTheme="minorEastAsia" w:hAnsiTheme="minorHAnsi" w:cstheme="minorBidi"/>
            <w:lang w:val="en-GB" w:eastAsia="en-GB"/>
          </w:rPr>
          <w:tab/>
        </w:r>
        <w:r w:rsidRPr="00322FF5">
          <w:rPr>
            <w:rStyle w:val="Hyperlink"/>
          </w:rPr>
          <w:t>ÉTAT DE PRÉPARATION DES FORCES DE L’OTAN</w:t>
        </w:r>
        <w:r w:rsidRPr="00322FF5">
          <w:rPr>
            <w:webHidden/>
          </w:rPr>
          <w:tab/>
        </w:r>
        <w:r w:rsidRPr="00322FF5">
          <w:rPr>
            <w:webHidden/>
          </w:rPr>
          <w:fldChar w:fldCharType="begin"/>
        </w:r>
        <w:r w:rsidRPr="00322FF5">
          <w:rPr>
            <w:webHidden/>
          </w:rPr>
          <w:instrText xml:space="preserve"> PAGEREF _Toc464810719 \h </w:instrText>
        </w:r>
        <w:r w:rsidRPr="00322FF5">
          <w:rPr>
            <w:webHidden/>
          </w:rPr>
        </w:r>
        <w:r w:rsidRPr="00322FF5">
          <w:rPr>
            <w:webHidden/>
          </w:rPr>
          <w:fldChar w:fldCharType="separate"/>
        </w:r>
        <w:r w:rsidR="00122DF8">
          <w:rPr>
            <w:webHidden/>
          </w:rPr>
          <w:t>8</w:t>
        </w:r>
        <w:r w:rsidRPr="00322FF5">
          <w:rPr>
            <w:webHidden/>
          </w:rPr>
          <w:fldChar w:fldCharType="end"/>
        </w:r>
      </w:hyperlink>
    </w:p>
    <w:p w14:paraId="534D7E07" w14:textId="02608E00"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20" w:history="1">
        <w:r w:rsidRPr="00322FF5">
          <w:rPr>
            <w:rStyle w:val="Hyperlink"/>
          </w:rPr>
          <w:t>B.</w:t>
        </w:r>
        <w:r w:rsidRPr="00322FF5">
          <w:rPr>
            <w:rFonts w:asciiTheme="minorHAnsi" w:eastAsiaTheme="minorEastAsia" w:hAnsiTheme="minorHAnsi" w:cstheme="minorBidi"/>
            <w:lang w:val="en-GB" w:eastAsia="en-GB"/>
          </w:rPr>
          <w:tab/>
        </w:r>
        <w:r w:rsidRPr="00322FF5">
          <w:rPr>
            <w:rStyle w:val="Hyperlink"/>
          </w:rPr>
          <w:t>UNE PRÉSENCE AVANCÉE RENFORCÉE</w:t>
        </w:r>
        <w:r w:rsidRPr="00322FF5">
          <w:rPr>
            <w:webHidden/>
          </w:rPr>
          <w:tab/>
        </w:r>
        <w:r w:rsidRPr="00322FF5">
          <w:rPr>
            <w:webHidden/>
          </w:rPr>
          <w:fldChar w:fldCharType="begin"/>
        </w:r>
        <w:r w:rsidRPr="00322FF5">
          <w:rPr>
            <w:webHidden/>
          </w:rPr>
          <w:instrText xml:space="preserve"> PAGEREF _Toc464810720 \h </w:instrText>
        </w:r>
        <w:r w:rsidRPr="00322FF5">
          <w:rPr>
            <w:webHidden/>
          </w:rPr>
        </w:r>
        <w:r w:rsidRPr="00322FF5">
          <w:rPr>
            <w:webHidden/>
          </w:rPr>
          <w:fldChar w:fldCharType="separate"/>
        </w:r>
        <w:r w:rsidR="00122DF8">
          <w:rPr>
            <w:webHidden/>
          </w:rPr>
          <w:t>9</w:t>
        </w:r>
        <w:r w:rsidRPr="00322FF5">
          <w:rPr>
            <w:webHidden/>
          </w:rPr>
          <w:fldChar w:fldCharType="end"/>
        </w:r>
      </w:hyperlink>
    </w:p>
    <w:p w14:paraId="5EE8B419" w14:textId="66E8A20A"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21" w:history="1">
        <w:r w:rsidRPr="00322FF5">
          <w:rPr>
            <w:rStyle w:val="Hyperlink"/>
          </w:rPr>
          <w:t>C.</w:t>
        </w:r>
        <w:r w:rsidRPr="00322FF5">
          <w:rPr>
            <w:rFonts w:asciiTheme="minorHAnsi" w:eastAsiaTheme="minorEastAsia" w:hAnsiTheme="minorHAnsi" w:cstheme="minorBidi"/>
            <w:lang w:val="en-GB" w:eastAsia="en-GB"/>
          </w:rPr>
          <w:tab/>
        </w:r>
        <w:r w:rsidRPr="00322FF5">
          <w:rPr>
            <w:rStyle w:val="Hyperlink"/>
          </w:rPr>
          <w:t>L’ENGAGEMENT « DES 2 ET DES 20 » EN MATIÈRE DE DÉPENSES DE DÉFENSE</w:t>
        </w:r>
        <w:r w:rsidRPr="00322FF5">
          <w:rPr>
            <w:webHidden/>
          </w:rPr>
          <w:tab/>
        </w:r>
        <w:r w:rsidRPr="00322FF5">
          <w:rPr>
            <w:webHidden/>
          </w:rPr>
          <w:fldChar w:fldCharType="begin"/>
        </w:r>
        <w:r w:rsidRPr="00322FF5">
          <w:rPr>
            <w:webHidden/>
          </w:rPr>
          <w:instrText xml:space="preserve"> PAGEREF _Toc464810721 \h </w:instrText>
        </w:r>
        <w:r w:rsidRPr="00322FF5">
          <w:rPr>
            <w:webHidden/>
          </w:rPr>
        </w:r>
        <w:r w:rsidRPr="00322FF5">
          <w:rPr>
            <w:webHidden/>
          </w:rPr>
          <w:fldChar w:fldCharType="separate"/>
        </w:r>
        <w:r w:rsidR="00122DF8">
          <w:rPr>
            <w:webHidden/>
          </w:rPr>
          <w:t>10</w:t>
        </w:r>
        <w:r w:rsidRPr="00322FF5">
          <w:rPr>
            <w:webHidden/>
          </w:rPr>
          <w:fldChar w:fldCharType="end"/>
        </w:r>
      </w:hyperlink>
    </w:p>
    <w:p w14:paraId="20520FF5" w14:textId="7ED18C54"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22" w:history="1">
        <w:r w:rsidRPr="00322FF5">
          <w:rPr>
            <w:rStyle w:val="Hyperlink"/>
          </w:rPr>
          <w:t>D.</w:t>
        </w:r>
        <w:r w:rsidRPr="00322FF5">
          <w:rPr>
            <w:rFonts w:asciiTheme="minorHAnsi" w:eastAsiaTheme="minorEastAsia" w:hAnsiTheme="minorHAnsi" w:cstheme="minorBidi"/>
            <w:lang w:val="en-GB" w:eastAsia="en-GB"/>
          </w:rPr>
          <w:tab/>
        </w:r>
        <w:r w:rsidRPr="00322FF5">
          <w:rPr>
            <w:rStyle w:val="Hyperlink"/>
          </w:rPr>
          <w:t>ENGAGEMENT EN FAVEUR DE LA DÉPLOYABILITÉ</w:t>
        </w:r>
        <w:r w:rsidRPr="00322FF5">
          <w:rPr>
            <w:webHidden/>
          </w:rPr>
          <w:tab/>
        </w:r>
        <w:r w:rsidRPr="00322FF5">
          <w:rPr>
            <w:webHidden/>
          </w:rPr>
          <w:fldChar w:fldCharType="begin"/>
        </w:r>
        <w:r w:rsidRPr="00322FF5">
          <w:rPr>
            <w:webHidden/>
          </w:rPr>
          <w:instrText xml:space="preserve"> PAGEREF _Toc464810722 \h </w:instrText>
        </w:r>
        <w:r w:rsidRPr="00322FF5">
          <w:rPr>
            <w:webHidden/>
          </w:rPr>
        </w:r>
        <w:r w:rsidRPr="00322FF5">
          <w:rPr>
            <w:webHidden/>
          </w:rPr>
          <w:fldChar w:fldCharType="separate"/>
        </w:r>
        <w:r w:rsidR="00122DF8">
          <w:rPr>
            <w:webHidden/>
          </w:rPr>
          <w:t>11</w:t>
        </w:r>
        <w:r w:rsidRPr="00322FF5">
          <w:rPr>
            <w:webHidden/>
          </w:rPr>
          <w:fldChar w:fldCharType="end"/>
        </w:r>
      </w:hyperlink>
    </w:p>
    <w:p w14:paraId="073ADA90" w14:textId="77E8EDA0"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23" w:history="1">
        <w:r w:rsidRPr="00322FF5">
          <w:rPr>
            <w:rStyle w:val="Hyperlink"/>
          </w:rPr>
          <w:t>E.</w:t>
        </w:r>
        <w:r w:rsidRPr="00322FF5">
          <w:rPr>
            <w:rFonts w:asciiTheme="minorHAnsi" w:eastAsiaTheme="minorEastAsia" w:hAnsiTheme="minorHAnsi" w:cstheme="minorBidi"/>
            <w:lang w:val="en-GB" w:eastAsia="en-GB"/>
          </w:rPr>
          <w:tab/>
        </w:r>
        <w:r w:rsidRPr="00322FF5">
          <w:rPr>
            <w:rStyle w:val="Hyperlink"/>
          </w:rPr>
          <w:t>LA PRISE DE DÉCISION À L’OTAN</w:t>
        </w:r>
        <w:r w:rsidRPr="00322FF5">
          <w:rPr>
            <w:webHidden/>
          </w:rPr>
          <w:tab/>
        </w:r>
        <w:r w:rsidRPr="00322FF5">
          <w:rPr>
            <w:webHidden/>
          </w:rPr>
          <w:fldChar w:fldCharType="begin"/>
        </w:r>
        <w:r w:rsidRPr="00322FF5">
          <w:rPr>
            <w:webHidden/>
          </w:rPr>
          <w:instrText xml:space="preserve"> PAGEREF _Toc464810723 \h </w:instrText>
        </w:r>
        <w:r w:rsidRPr="00322FF5">
          <w:rPr>
            <w:webHidden/>
          </w:rPr>
        </w:r>
        <w:r w:rsidRPr="00322FF5">
          <w:rPr>
            <w:webHidden/>
          </w:rPr>
          <w:fldChar w:fldCharType="separate"/>
        </w:r>
        <w:r w:rsidR="00122DF8">
          <w:rPr>
            <w:webHidden/>
          </w:rPr>
          <w:t>11</w:t>
        </w:r>
        <w:r w:rsidRPr="00322FF5">
          <w:rPr>
            <w:webHidden/>
          </w:rPr>
          <w:fldChar w:fldCharType="end"/>
        </w:r>
      </w:hyperlink>
    </w:p>
    <w:p w14:paraId="77DF6E65" w14:textId="64377292"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24" w:history="1">
        <w:r w:rsidRPr="00322FF5">
          <w:rPr>
            <w:rStyle w:val="Hyperlink"/>
          </w:rPr>
          <w:t>F.</w:t>
        </w:r>
        <w:r w:rsidRPr="00322FF5">
          <w:rPr>
            <w:rFonts w:asciiTheme="minorHAnsi" w:eastAsiaTheme="minorEastAsia" w:hAnsiTheme="minorHAnsi" w:cstheme="minorBidi"/>
            <w:lang w:val="en-GB" w:eastAsia="en-GB"/>
          </w:rPr>
          <w:tab/>
        </w:r>
        <w:r w:rsidRPr="00322FF5">
          <w:rPr>
            <w:rStyle w:val="Hyperlink"/>
          </w:rPr>
          <w:t>CYBERDYNAMISME ET RÉSILIENCE</w:t>
        </w:r>
        <w:r w:rsidRPr="00322FF5">
          <w:rPr>
            <w:webHidden/>
          </w:rPr>
          <w:tab/>
        </w:r>
        <w:r w:rsidRPr="00322FF5">
          <w:rPr>
            <w:webHidden/>
          </w:rPr>
          <w:fldChar w:fldCharType="begin"/>
        </w:r>
        <w:r w:rsidRPr="00322FF5">
          <w:rPr>
            <w:webHidden/>
          </w:rPr>
          <w:instrText xml:space="preserve"> PAGEREF _Toc464810724 \h </w:instrText>
        </w:r>
        <w:r w:rsidRPr="00322FF5">
          <w:rPr>
            <w:webHidden/>
          </w:rPr>
        </w:r>
        <w:r w:rsidRPr="00322FF5">
          <w:rPr>
            <w:webHidden/>
          </w:rPr>
          <w:fldChar w:fldCharType="separate"/>
        </w:r>
        <w:r w:rsidR="00122DF8">
          <w:rPr>
            <w:webHidden/>
          </w:rPr>
          <w:t>12</w:t>
        </w:r>
        <w:r w:rsidRPr="00322FF5">
          <w:rPr>
            <w:webHidden/>
          </w:rPr>
          <w:fldChar w:fldCharType="end"/>
        </w:r>
      </w:hyperlink>
    </w:p>
    <w:p w14:paraId="519B1FB6" w14:textId="4B513AF4"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25" w:history="1">
        <w:r w:rsidRPr="00322FF5">
          <w:rPr>
            <w:rStyle w:val="Hyperlink"/>
            <w:u w:val="none"/>
          </w:rPr>
          <w:t>G.</w:t>
        </w:r>
        <w:r w:rsidRPr="00322FF5">
          <w:rPr>
            <w:rFonts w:asciiTheme="minorHAnsi" w:eastAsiaTheme="minorEastAsia" w:hAnsiTheme="minorHAnsi" w:cstheme="minorBidi"/>
            <w:lang w:val="en-GB" w:eastAsia="en-GB"/>
          </w:rPr>
          <w:tab/>
        </w:r>
        <w:r w:rsidRPr="00322FF5">
          <w:rPr>
            <w:rStyle w:val="Hyperlink"/>
          </w:rPr>
          <w:t>LA DÉFENSE DE L’OTAN CONTRE LES MISSILES BALISTIQUES</w:t>
        </w:r>
        <w:r w:rsidRPr="00322FF5">
          <w:rPr>
            <w:webHidden/>
          </w:rPr>
          <w:tab/>
        </w:r>
        <w:r w:rsidRPr="00322FF5">
          <w:rPr>
            <w:webHidden/>
          </w:rPr>
          <w:fldChar w:fldCharType="begin"/>
        </w:r>
        <w:r w:rsidRPr="00322FF5">
          <w:rPr>
            <w:webHidden/>
          </w:rPr>
          <w:instrText xml:space="preserve"> PAGEREF _Toc464810725 \h </w:instrText>
        </w:r>
        <w:r w:rsidRPr="00322FF5">
          <w:rPr>
            <w:webHidden/>
          </w:rPr>
        </w:r>
        <w:r w:rsidRPr="00322FF5">
          <w:rPr>
            <w:webHidden/>
          </w:rPr>
          <w:fldChar w:fldCharType="separate"/>
        </w:r>
        <w:r w:rsidR="00122DF8">
          <w:rPr>
            <w:webHidden/>
          </w:rPr>
          <w:t>14</w:t>
        </w:r>
        <w:r w:rsidRPr="00322FF5">
          <w:rPr>
            <w:webHidden/>
          </w:rPr>
          <w:fldChar w:fldCharType="end"/>
        </w:r>
      </w:hyperlink>
    </w:p>
    <w:p w14:paraId="471C6F3F" w14:textId="3219AFD9" w:rsidR="007C2116" w:rsidRPr="00322FF5" w:rsidRDefault="007C2116" w:rsidP="007C2116">
      <w:pPr>
        <w:pStyle w:val="TOC2"/>
        <w:tabs>
          <w:tab w:val="clear" w:pos="9629"/>
          <w:tab w:val="right" w:leader="dot" w:pos="9214"/>
        </w:tabs>
        <w:ind w:right="992"/>
        <w:rPr>
          <w:rFonts w:asciiTheme="minorHAnsi" w:eastAsiaTheme="minorEastAsia" w:hAnsiTheme="minorHAnsi" w:cstheme="minorBidi"/>
          <w:lang w:val="en-GB" w:eastAsia="en-GB"/>
        </w:rPr>
      </w:pPr>
      <w:r w:rsidRPr="00322FF5">
        <w:rPr>
          <w:rStyle w:val="Hyperlink"/>
          <w:u w:val="none"/>
        </w:rPr>
        <w:tab/>
      </w:r>
      <w:hyperlink w:anchor="_Toc464810726" w:history="1">
        <w:r w:rsidRPr="00322FF5">
          <w:rPr>
            <w:rStyle w:val="Hyperlink"/>
          </w:rPr>
          <w:t>H.</w:t>
        </w:r>
        <w:r w:rsidRPr="00322FF5">
          <w:rPr>
            <w:rFonts w:asciiTheme="minorHAnsi" w:eastAsiaTheme="minorEastAsia" w:hAnsiTheme="minorHAnsi" w:cstheme="minorBidi"/>
            <w:lang w:val="en-GB" w:eastAsia="en-GB"/>
          </w:rPr>
          <w:tab/>
        </w:r>
        <w:r w:rsidRPr="00322FF5">
          <w:rPr>
            <w:rStyle w:val="Hyperlink"/>
          </w:rPr>
          <w:t>LA POSTURE NUCLÉAIRE DE L’OTAN</w:t>
        </w:r>
        <w:r w:rsidRPr="00322FF5">
          <w:rPr>
            <w:webHidden/>
          </w:rPr>
          <w:tab/>
        </w:r>
        <w:r w:rsidRPr="00322FF5">
          <w:rPr>
            <w:webHidden/>
          </w:rPr>
          <w:fldChar w:fldCharType="begin"/>
        </w:r>
        <w:r w:rsidRPr="00322FF5">
          <w:rPr>
            <w:webHidden/>
          </w:rPr>
          <w:instrText xml:space="preserve"> PAGEREF _Toc464810726 \h </w:instrText>
        </w:r>
        <w:r w:rsidRPr="00322FF5">
          <w:rPr>
            <w:webHidden/>
          </w:rPr>
        </w:r>
        <w:r w:rsidRPr="00322FF5">
          <w:rPr>
            <w:webHidden/>
          </w:rPr>
          <w:fldChar w:fldCharType="separate"/>
        </w:r>
        <w:r w:rsidR="00122DF8">
          <w:rPr>
            <w:webHidden/>
          </w:rPr>
          <w:t>15</w:t>
        </w:r>
        <w:r w:rsidRPr="00322FF5">
          <w:rPr>
            <w:webHidden/>
          </w:rPr>
          <w:fldChar w:fldCharType="end"/>
        </w:r>
      </w:hyperlink>
    </w:p>
    <w:p w14:paraId="7A1809E4" w14:textId="77777777" w:rsidR="007C2116" w:rsidRPr="00322FF5" w:rsidRDefault="007C2116" w:rsidP="007C2116">
      <w:pPr>
        <w:pStyle w:val="TOC1"/>
        <w:tabs>
          <w:tab w:val="clear" w:pos="9629"/>
          <w:tab w:val="right" w:leader="dot" w:pos="9214"/>
        </w:tabs>
        <w:ind w:right="992"/>
        <w:rPr>
          <w:rStyle w:val="Hyperlink"/>
          <w:b w:val="0"/>
          <w:i w:val="0"/>
          <w:sz w:val="22"/>
          <w:szCs w:val="22"/>
        </w:rPr>
      </w:pPr>
    </w:p>
    <w:p w14:paraId="28E48D78" w14:textId="134F4C88" w:rsidR="007C2116" w:rsidRPr="00322FF5" w:rsidRDefault="00122DF8"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hyperlink w:anchor="_Toc464810727" w:history="1">
        <w:r w:rsidR="007C2116" w:rsidRPr="00322FF5">
          <w:rPr>
            <w:rStyle w:val="Hyperlink"/>
            <w:b w:val="0"/>
            <w:i w:val="0"/>
            <w:caps w:val="0"/>
            <w:sz w:val="22"/>
            <w:szCs w:val="22"/>
          </w:rPr>
          <w:t>V.</w:t>
        </w:r>
        <w:r w:rsidR="007C2116" w:rsidRPr="00322FF5">
          <w:rPr>
            <w:rFonts w:asciiTheme="minorHAnsi" w:eastAsiaTheme="minorEastAsia" w:hAnsiTheme="minorHAnsi" w:cstheme="minorBidi"/>
            <w:b w:val="0"/>
            <w:bCs w:val="0"/>
            <w:i w:val="0"/>
            <w:iCs w:val="0"/>
            <w:caps w:val="0"/>
            <w:sz w:val="22"/>
            <w:szCs w:val="22"/>
            <w:lang w:val="en-GB" w:eastAsia="en-GB"/>
          </w:rPr>
          <w:tab/>
        </w:r>
        <w:r w:rsidR="007C2116" w:rsidRPr="00322FF5">
          <w:rPr>
            <w:rStyle w:val="Hyperlink"/>
            <w:b w:val="0"/>
            <w:i w:val="0"/>
            <w:caps w:val="0"/>
            <w:sz w:val="22"/>
            <w:szCs w:val="22"/>
          </w:rPr>
          <w:t>PERCEPTIONS ET RÉPONSE DE LA RUSSIE</w:t>
        </w:r>
        <w:r w:rsidR="007C2116" w:rsidRPr="00322FF5">
          <w:rPr>
            <w:b w:val="0"/>
            <w:i w:val="0"/>
            <w:caps w:val="0"/>
            <w:webHidden/>
            <w:sz w:val="22"/>
            <w:szCs w:val="22"/>
          </w:rPr>
          <w:tab/>
        </w:r>
        <w:r w:rsidR="007C2116" w:rsidRPr="00322FF5">
          <w:rPr>
            <w:b w:val="0"/>
            <w:i w:val="0"/>
            <w:webHidden/>
            <w:sz w:val="22"/>
            <w:szCs w:val="22"/>
          </w:rPr>
          <w:fldChar w:fldCharType="begin"/>
        </w:r>
        <w:r w:rsidR="007C2116" w:rsidRPr="00322FF5">
          <w:rPr>
            <w:b w:val="0"/>
            <w:i w:val="0"/>
            <w:webHidden/>
            <w:sz w:val="22"/>
            <w:szCs w:val="22"/>
          </w:rPr>
          <w:instrText xml:space="preserve"> PAGEREF _Toc464810727 \h </w:instrText>
        </w:r>
        <w:r w:rsidR="007C2116" w:rsidRPr="00322FF5">
          <w:rPr>
            <w:b w:val="0"/>
            <w:i w:val="0"/>
            <w:webHidden/>
            <w:sz w:val="22"/>
            <w:szCs w:val="22"/>
          </w:rPr>
        </w:r>
        <w:r w:rsidR="007C2116" w:rsidRPr="00322FF5">
          <w:rPr>
            <w:b w:val="0"/>
            <w:i w:val="0"/>
            <w:webHidden/>
            <w:sz w:val="22"/>
            <w:szCs w:val="22"/>
          </w:rPr>
          <w:fldChar w:fldCharType="separate"/>
        </w:r>
        <w:r>
          <w:rPr>
            <w:b w:val="0"/>
            <w:i w:val="0"/>
            <w:webHidden/>
            <w:sz w:val="22"/>
            <w:szCs w:val="22"/>
          </w:rPr>
          <w:t>16</w:t>
        </w:r>
        <w:r w:rsidR="007C2116" w:rsidRPr="00322FF5">
          <w:rPr>
            <w:b w:val="0"/>
            <w:i w:val="0"/>
            <w:webHidden/>
            <w:sz w:val="22"/>
            <w:szCs w:val="22"/>
          </w:rPr>
          <w:fldChar w:fldCharType="end"/>
        </w:r>
      </w:hyperlink>
    </w:p>
    <w:p w14:paraId="6CA37DFD" w14:textId="77777777" w:rsidR="007C2116" w:rsidRPr="00322FF5" w:rsidRDefault="007C2116" w:rsidP="007C2116">
      <w:pPr>
        <w:pStyle w:val="TOC1"/>
        <w:tabs>
          <w:tab w:val="clear" w:pos="9629"/>
          <w:tab w:val="right" w:leader="dot" w:pos="9214"/>
        </w:tabs>
        <w:ind w:right="992"/>
        <w:rPr>
          <w:rStyle w:val="Hyperlink"/>
          <w:b w:val="0"/>
          <w:i w:val="0"/>
          <w:sz w:val="22"/>
          <w:szCs w:val="22"/>
        </w:rPr>
      </w:pPr>
    </w:p>
    <w:p w14:paraId="6313F64E" w14:textId="482D7867" w:rsidR="007C2116" w:rsidRPr="00322FF5" w:rsidRDefault="00122DF8"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hyperlink w:anchor="_Toc464810728" w:history="1">
        <w:r w:rsidR="007C2116" w:rsidRPr="00322FF5">
          <w:rPr>
            <w:rStyle w:val="Hyperlink"/>
            <w:b w:val="0"/>
            <w:i w:val="0"/>
            <w:caps w:val="0"/>
            <w:sz w:val="22"/>
            <w:szCs w:val="22"/>
          </w:rPr>
          <w:t>VI.</w:t>
        </w:r>
        <w:r w:rsidR="007C2116" w:rsidRPr="00322FF5">
          <w:rPr>
            <w:rFonts w:asciiTheme="minorHAnsi" w:eastAsiaTheme="minorEastAsia" w:hAnsiTheme="minorHAnsi" w:cstheme="minorBidi"/>
            <w:b w:val="0"/>
            <w:bCs w:val="0"/>
            <w:i w:val="0"/>
            <w:iCs w:val="0"/>
            <w:caps w:val="0"/>
            <w:sz w:val="22"/>
            <w:szCs w:val="22"/>
            <w:lang w:val="en-GB" w:eastAsia="en-GB"/>
          </w:rPr>
          <w:tab/>
        </w:r>
        <w:r w:rsidR="007C2116" w:rsidRPr="00322FF5">
          <w:rPr>
            <w:rStyle w:val="Hyperlink"/>
            <w:b w:val="0"/>
            <w:i w:val="0"/>
            <w:caps w:val="0"/>
            <w:sz w:val="22"/>
            <w:szCs w:val="22"/>
          </w:rPr>
          <w:t>CONCLUSIONS PROVISOIRES</w:t>
        </w:r>
        <w:r w:rsidR="007C2116" w:rsidRPr="00322FF5">
          <w:rPr>
            <w:b w:val="0"/>
            <w:i w:val="0"/>
            <w:caps w:val="0"/>
            <w:webHidden/>
            <w:sz w:val="22"/>
            <w:szCs w:val="22"/>
          </w:rPr>
          <w:tab/>
        </w:r>
        <w:r w:rsidR="007C2116" w:rsidRPr="00322FF5">
          <w:rPr>
            <w:b w:val="0"/>
            <w:i w:val="0"/>
            <w:webHidden/>
            <w:sz w:val="22"/>
            <w:szCs w:val="22"/>
          </w:rPr>
          <w:fldChar w:fldCharType="begin"/>
        </w:r>
        <w:r w:rsidR="007C2116" w:rsidRPr="00322FF5">
          <w:rPr>
            <w:b w:val="0"/>
            <w:i w:val="0"/>
            <w:webHidden/>
            <w:sz w:val="22"/>
            <w:szCs w:val="22"/>
          </w:rPr>
          <w:instrText xml:space="preserve"> PAGEREF _Toc464810728 \h </w:instrText>
        </w:r>
        <w:r w:rsidR="007C2116" w:rsidRPr="00322FF5">
          <w:rPr>
            <w:b w:val="0"/>
            <w:i w:val="0"/>
            <w:webHidden/>
            <w:sz w:val="22"/>
            <w:szCs w:val="22"/>
          </w:rPr>
        </w:r>
        <w:r w:rsidR="007C2116" w:rsidRPr="00322FF5">
          <w:rPr>
            <w:b w:val="0"/>
            <w:i w:val="0"/>
            <w:webHidden/>
            <w:sz w:val="22"/>
            <w:szCs w:val="22"/>
          </w:rPr>
          <w:fldChar w:fldCharType="separate"/>
        </w:r>
        <w:r>
          <w:rPr>
            <w:b w:val="0"/>
            <w:i w:val="0"/>
            <w:webHidden/>
            <w:sz w:val="22"/>
            <w:szCs w:val="22"/>
          </w:rPr>
          <w:t>22</w:t>
        </w:r>
        <w:r w:rsidR="007C2116" w:rsidRPr="00322FF5">
          <w:rPr>
            <w:b w:val="0"/>
            <w:i w:val="0"/>
            <w:webHidden/>
            <w:sz w:val="22"/>
            <w:szCs w:val="22"/>
          </w:rPr>
          <w:fldChar w:fldCharType="end"/>
        </w:r>
      </w:hyperlink>
    </w:p>
    <w:p w14:paraId="3E38C863" w14:textId="77777777" w:rsidR="007C2116" w:rsidRPr="00322FF5" w:rsidRDefault="007C2116" w:rsidP="007C2116">
      <w:pPr>
        <w:pStyle w:val="TOC1"/>
        <w:tabs>
          <w:tab w:val="clear" w:pos="9629"/>
          <w:tab w:val="right" w:leader="dot" w:pos="9214"/>
        </w:tabs>
        <w:ind w:right="992"/>
        <w:rPr>
          <w:rStyle w:val="Hyperlink"/>
          <w:b w:val="0"/>
          <w:i w:val="0"/>
          <w:sz w:val="22"/>
          <w:szCs w:val="22"/>
        </w:rPr>
      </w:pPr>
    </w:p>
    <w:p w14:paraId="0FDCF3A4" w14:textId="6BB81B92" w:rsidR="007C2116" w:rsidRPr="00322FF5" w:rsidRDefault="007C2116"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r w:rsidRPr="00322FF5">
        <w:rPr>
          <w:rStyle w:val="Hyperlink"/>
          <w:b w:val="0"/>
          <w:i w:val="0"/>
          <w:sz w:val="22"/>
          <w:szCs w:val="22"/>
          <w:u w:val="none"/>
        </w:rPr>
        <w:tab/>
      </w:r>
      <w:hyperlink w:anchor="_Toc464810729" w:history="1">
        <w:r w:rsidRPr="00322FF5">
          <w:rPr>
            <w:rStyle w:val="Hyperlink"/>
            <w:b w:val="0"/>
            <w:i w:val="0"/>
            <w:caps w:val="0"/>
            <w:sz w:val="22"/>
            <w:szCs w:val="22"/>
            <w:shd w:val="clear" w:color="auto" w:fill="FFFFFF"/>
          </w:rPr>
          <w:t>APPENDICES ET INFORMATIONS COMPLÉMENTAIRES</w:t>
        </w:r>
        <w:r w:rsidRPr="00322FF5">
          <w:rPr>
            <w:b w:val="0"/>
            <w:i w:val="0"/>
            <w:caps w:val="0"/>
            <w:webHidden/>
            <w:sz w:val="22"/>
            <w:szCs w:val="22"/>
          </w:rPr>
          <w:tab/>
        </w:r>
        <w:r w:rsidRPr="00322FF5">
          <w:rPr>
            <w:b w:val="0"/>
            <w:i w:val="0"/>
            <w:webHidden/>
            <w:sz w:val="22"/>
            <w:szCs w:val="22"/>
          </w:rPr>
          <w:fldChar w:fldCharType="begin"/>
        </w:r>
        <w:r w:rsidRPr="00322FF5">
          <w:rPr>
            <w:b w:val="0"/>
            <w:i w:val="0"/>
            <w:webHidden/>
            <w:sz w:val="22"/>
            <w:szCs w:val="22"/>
          </w:rPr>
          <w:instrText xml:space="preserve"> PAGEREF _Toc464810729 \h </w:instrText>
        </w:r>
        <w:r w:rsidRPr="00322FF5">
          <w:rPr>
            <w:b w:val="0"/>
            <w:i w:val="0"/>
            <w:webHidden/>
            <w:sz w:val="22"/>
            <w:szCs w:val="22"/>
          </w:rPr>
        </w:r>
        <w:r w:rsidRPr="00322FF5">
          <w:rPr>
            <w:b w:val="0"/>
            <w:i w:val="0"/>
            <w:webHidden/>
            <w:sz w:val="22"/>
            <w:szCs w:val="22"/>
          </w:rPr>
          <w:fldChar w:fldCharType="separate"/>
        </w:r>
        <w:r w:rsidR="00122DF8">
          <w:rPr>
            <w:b w:val="0"/>
            <w:i w:val="0"/>
            <w:webHidden/>
            <w:sz w:val="22"/>
            <w:szCs w:val="22"/>
          </w:rPr>
          <w:t>24</w:t>
        </w:r>
        <w:r w:rsidRPr="00322FF5">
          <w:rPr>
            <w:b w:val="0"/>
            <w:i w:val="0"/>
            <w:webHidden/>
            <w:sz w:val="22"/>
            <w:szCs w:val="22"/>
          </w:rPr>
          <w:fldChar w:fldCharType="end"/>
        </w:r>
      </w:hyperlink>
    </w:p>
    <w:p w14:paraId="15EAD2C2" w14:textId="77777777" w:rsidR="007C2116" w:rsidRPr="00322FF5" w:rsidRDefault="007C2116" w:rsidP="007C2116">
      <w:pPr>
        <w:pStyle w:val="TOC1"/>
        <w:tabs>
          <w:tab w:val="clear" w:pos="9629"/>
          <w:tab w:val="right" w:leader="dot" w:pos="9214"/>
        </w:tabs>
        <w:ind w:right="992"/>
        <w:rPr>
          <w:rStyle w:val="Hyperlink"/>
          <w:b w:val="0"/>
          <w:i w:val="0"/>
          <w:sz w:val="22"/>
          <w:szCs w:val="22"/>
        </w:rPr>
      </w:pPr>
    </w:p>
    <w:p w14:paraId="2A7BA43C" w14:textId="453193E6" w:rsidR="007C2116" w:rsidRPr="00322FF5" w:rsidRDefault="007C2116" w:rsidP="007C2116">
      <w:pPr>
        <w:pStyle w:val="TOC1"/>
        <w:tabs>
          <w:tab w:val="clear" w:pos="9629"/>
          <w:tab w:val="right" w:leader="dot" w:pos="9214"/>
        </w:tabs>
        <w:ind w:right="992"/>
        <w:rPr>
          <w:rFonts w:asciiTheme="minorHAnsi" w:eastAsiaTheme="minorEastAsia" w:hAnsiTheme="minorHAnsi" w:cstheme="minorBidi"/>
          <w:b w:val="0"/>
          <w:bCs w:val="0"/>
          <w:i w:val="0"/>
          <w:iCs w:val="0"/>
          <w:caps w:val="0"/>
          <w:sz w:val="22"/>
          <w:szCs w:val="22"/>
          <w:lang w:val="en-GB" w:eastAsia="en-GB"/>
        </w:rPr>
      </w:pPr>
      <w:r w:rsidRPr="00322FF5">
        <w:rPr>
          <w:rStyle w:val="Hyperlink"/>
          <w:b w:val="0"/>
          <w:i w:val="0"/>
          <w:sz w:val="22"/>
          <w:szCs w:val="22"/>
          <w:u w:val="none"/>
        </w:rPr>
        <w:tab/>
      </w:r>
      <w:hyperlink w:anchor="_Toc464810730" w:history="1">
        <w:r w:rsidRPr="00322FF5">
          <w:rPr>
            <w:rStyle w:val="Hyperlink"/>
            <w:rFonts w:eastAsia="Calibri"/>
            <w:b w:val="0"/>
            <w:i w:val="0"/>
            <w:caps w:val="0"/>
            <w:sz w:val="22"/>
            <w:szCs w:val="22"/>
            <w:lang w:val="en-US"/>
          </w:rPr>
          <w:t>BIBLIOGRAPHIE</w:t>
        </w:r>
        <w:r w:rsidRPr="00322FF5">
          <w:rPr>
            <w:b w:val="0"/>
            <w:i w:val="0"/>
            <w:caps w:val="0"/>
            <w:webHidden/>
            <w:sz w:val="22"/>
            <w:szCs w:val="22"/>
          </w:rPr>
          <w:tab/>
        </w:r>
        <w:r w:rsidRPr="00322FF5">
          <w:rPr>
            <w:b w:val="0"/>
            <w:i w:val="0"/>
            <w:webHidden/>
            <w:sz w:val="22"/>
            <w:szCs w:val="22"/>
          </w:rPr>
          <w:fldChar w:fldCharType="begin"/>
        </w:r>
        <w:r w:rsidRPr="00322FF5">
          <w:rPr>
            <w:b w:val="0"/>
            <w:i w:val="0"/>
            <w:webHidden/>
            <w:sz w:val="22"/>
            <w:szCs w:val="22"/>
          </w:rPr>
          <w:instrText xml:space="preserve"> PAGEREF _Toc464810730 \h </w:instrText>
        </w:r>
        <w:r w:rsidRPr="00322FF5">
          <w:rPr>
            <w:b w:val="0"/>
            <w:i w:val="0"/>
            <w:webHidden/>
            <w:sz w:val="22"/>
            <w:szCs w:val="22"/>
          </w:rPr>
        </w:r>
        <w:r w:rsidRPr="00322FF5">
          <w:rPr>
            <w:b w:val="0"/>
            <w:i w:val="0"/>
            <w:webHidden/>
            <w:sz w:val="22"/>
            <w:szCs w:val="22"/>
          </w:rPr>
          <w:fldChar w:fldCharType="separate"/>
        </w:r>
        <w:r w:rsidR="00122DF8">
          <w:rPr>
            <w:b w:val="0"/>
            <w:i w:val="0"/>
            <w:webHidden/>
            <w:sz w:val="22"/>
            <w:szCs w:val="22"/>
          </w:rPr>
          <w:t>26</w:t>
        </w:r>
        <w:r w:rsidRPr="00322FF5">
          <w:rPr>
            <w:b w:val="0"/>
            <w:i w:val="0"/>
            <w:webHidden/>
            <w:sz w:val="22"/>
            <w:szCs w:val="22"/>
          </w:rPr>
          <w:fldChar w:fldCharType="end"/>
        </w:r>
      </w:hyperlink>
    </w:p>
    <w:p w14:paraId="3D8FAA09" w14:textId="25208FCD" w:rsidR="00DD6AB2" w:rsidRPr="007C2116" w:rsidRDefault="00DD6AB2" w:rsidP="0059094C">
      <w:pPr>
        <w:ind w:left="567" w:hanging="567"/>
        <w:rPr>
          <w:b/>
        </w:rPr>
      </w:pPr>
      <w:r w:rsidRPr="00322FF5">
        <w:rPr>
          <w:bCs/>
          <w:noProof/>
        </w:rPr>
        <w:fldChar w:fldCharType="end"/>
      </w:r>
    </w:p>
    <w:p w14:paraId="4B7AF3FC" w14:textId="77777777" w:rsidR="00DD6AB2" w:rsidRPr="00873F20" w:rsidRDefault="00DD6AB2" w:rsidP="00D55FEA"/>
    <w:p w14:paraId="46EEE6C9" w14:textId="77777777" w:rsidR="001E295B" w:rsidRPr="00873F20" w:rsidRDefault="001E295B" w:rsidP="00D55FEA">
      <w:pPr>
        <w:jc w:val="right"/>
      </w:pPr>
    </w:p>
    <w:p w14:paraId="5618777F" w14:textId="77777777" w:rsidR="001E295B" w:rsidRPr="00873F20" w:rsidRDefault="001E295B" w:rsidP="00D55FEA">
      <w:pPr>
        <w:jc w:val="right"/>
      </w:pPr>
    </w:p>
    <w:p w14:paraId="03AD321C" w14:textId="77777777" w:rsidR="001E295B" w:rsidRPr="00873F20" w:rsidRDefault="001E295B" w:rsidP="00D55FEA">
      <w:pPr>
        <w:pStyle w:val="Header"/>
        <w:rPr>
          <w:noProof w:val="0"/>
        </w:rPr>
        <w:sectPr w:rsidR="001E295B" w:rsidRPr="00873F20" w:rsidSect="0059094C">
          <w:headerReference w:type="default" r:id="rId12"/>
          <w:headerReference w:type="first" r:id="rId13"/>
          <w:pgSz w:w="11907" w:h="16840" w:code="9"/>
          <w:pgMar w:top="1134" w:right="1134" w:bottom="1134" w:left="1134" w:header="850" w:footer="567" w:gutter="0"/>
          <w:pgNumType w:fmt="lowerRoman" w:start="1"/>
          <w:cols w:space="720"/>
          <w:docGrid w:linePitch="299"/>
        </w:sectPr>
      </w:pPr>
    </w:p>
    <w:p w14:paraId="26681006" w14:textId="77777777" w:rsidR="00D55FEA" w:rsidRPr="00873F20" w:rsidRDefault="00D55FEA" w:rsidP="00DF070F">
      <w:pPr>
        <w:pStyle w:val="Heading1"/>
        <w:ind w:left="567" w:hanging="567"/>
      </w:pPr>
      <w:bookmarkStart w:id="3" w:name="_Toc464810710"/>
      <w:r w:rsidRPr="00873F20">
        <w:t>Introduction</w:t>
      </w:r>
      <w:bookmarkEnd w:id="3"/>
    </w:p>
    <w:p w14:paraId="013B8456" w14:textId="77777777" w:rsidR="004F5260" w:rsidRPr="00873F20" w:rsidRDefault="004F5260" w:rsidP="004F5260"/>
    <w:p w14:paraId="635075A9" w14:textId="550FA9AC" w:rsidR="00D55FEA" w:rsidRPr="00873F20" w:rsidRDefault="00D55FEA" w:rsidP="00C02C3A">
      <w:pPr>
        <w:numPr>
          <w:ilvl w:val="0"/>
          <w:numId w:val="4"/>
        </w:numPr>
        <w:ind w:left="0" w:firstLine="0"/>
      </w:pPr>
      <w:r w:rsidRPr="00873F20">
        <w:t xml:space="preserve">L’invasion de l’Ukraine par la Russie en </w:t>
      </w:r>
      <w:r w:rsidR="00C60DC6">
        <w:t xml:space="preserve">mars </w:t>
      </w:r>
      <w:r w:rsidRPr="00873F20">
        <w:t xml:space="preserve">2014 est venue confirmer ce que nombre de décideurs </w:t>
      </w:r>
      <w:r w:rsidR="00C60DC6">
        <w:t xml:space="preserve">politiques </w:t>
      </w:r>
      <w:r w:rsidRPr="00873F20">
        <w:t>savaient déjà, à savoir que l’OTAN est confrontée à des défis majeurs sur deu</w:t>
      </w:r>
      <w:r w:rsidR="00C60DC6">
        <w:t>x fronts. Le long de son flanc e</w:t>
      </w:r>
      <w:r w:rsidRPr="00873F20">
        <w:t xml:space="preserve">st se dresse une Russie révisionniste et en pleine renaissance militaire qui, au travers d’une périlleuse surenchère visant à saper la cohésion de l’OTAN à coups de déclarations belliqueuses, d’actions </w:t>
      </w:r>
      <w:r w:rsidR="00C60DC6">
        <w:t xml:space="preserve">coercitives et </w:t>
      </w:r>
      <w:r w:rsidRPr="00873F20">
        <w:t>de propagande, voire d’une mise à profit de la crise des migrants syriens, cherche à bétonner ses intérêts sur le continent (</w:t>
      </w:r>
      <w:proofErr w:type="spellStart"/>
      <w:r w:rsidRPr="00873F20">
        <w:t>Frear</w:t>
      </w:r>
      <w:proofErr w:type="spellEnd"/>
      <w:r w:rsidRPr="00873F20">
        <w:t>, 2014</w:t>
      </w:r>
      <w:r w:rsidR="002E280B" w:rsidRPr="00873F20">
        <w:t>)</w:t>
      </w:r>
      <w:r w:rsidRPr="00873F20">
        <w:t xml:space="preserve">. Sur le flanc </w:t>
      </w:r>
      <w:r w:rsidR="00C60DC6">
        <w:t>s</w:t>
      </w:r>
      <w:r w:rsidRPr="00873F20">
        <w:t>ud de l’Alliance s’étend par ailleurs une vaste zone en proie aux conflits armés et à l’instabilité, qui continue d’attirer des combattants étrangers venus de nombreux pays membres de l’OTAN</w:t>
      </w:r>
      <w:r w:rsidR="00AA693B" w:rsidRPr="00873F20">
        <w:t>,</w:t>
      </w:r>
      <w:r w:rsidRPr="00873F20">
        <w:t xml:space="preserve"> </w:t>
      </w:r>
      <w:r w:rsidR="006B431E">
        <w:t>et jette</w:t>
      </w:r>
      <w:r w:rsidRPr="00873F20">
        <w:t xml:space="preserve"> sur la route de l’exode des migrants en situation irrégulière fuyant les hostilités. Les efforts déployés par des groupes a</w:t>
      </w:r>
      <w:r w:rsidR="004F5260" w:rsidRPr="00873F20">
        <w:t>rmés non étatiques pour étendre</w:t>
      </w:r>
      <w:r w:rsidRPr="00873F20">
        <w:t xml:space="preserve"> leurs territoires, alimenter la violence au niveau local et exporter leur idéologie </w:t>
      </w:r>
      <w:r w:rsidR="006B431E">
        <w:t>et</w:t>
      </w:r>
      <w:r w:rsidR="004F5260" w:rsidRPr="00873F20">
        <w:t xml:space="preserve"> la terreur</w:t>
      </w:r>
      <w:r w:rsidR="002E280B" w:rsidRPr="00873F20">
        <w:t xml:space="preserve"> partout</w:t>
      </w:r>
      <w:r w:rsidR="004F5260" w:rsidRPr="00873F20">
        <w:t xml:space="preserve"> dans le monde</w:t>
      </w:r>
      <w:r w:rsidRPr="00873F20">
        <w:t xml:space="preserve"> confrontent chaque </w:t>
      </w:r>
      <w:r w:rsidR="00E11330" w:rsidRPr="00873F20">
        <w:t>État</w:t>
      </w:r>
      <w:r w:rsidRPr="00873F20">
        <w:t xml:space="preserve"> membre de l’OTAN à de nouveaux enjeux de sécurité intérieure à la fo</w:t>
      </w:r>
      <w:r w:rsidR="004F5260" w:rsidRPr="00873F20">
        <w:t>is inédits et complexes</w:t>
      </w:r>
      <w:r w:rsidR="002E280B" w:rsidRPr="00873F20">
        <w:t>,</w:t>
      </w:r>
      <w:r w:rsidR="004F5260" w:rsidRPr="00873F20">
        <w:t xml:space="preserve"> </w:t>
      </w:r>
      <w:r w:rsidR="002E280B" w:rsidRPr="00873F20">
        <w:t>incarné</w:t>
      </w:r>
      <w:r w:rsidR="004F5260" w:rsidRPr="00873F20">
        <w:t xml:space="preserve">s </w:t>
      </w:r>
      <w:r w:rsidRPr="00873F20">
        <w:t xml:space="preserve">par ces nouvelles déferlantes d’extrémistes intérieurs et de combattants rentrés </w:t>
      </w:r>
      <w:r w:rsidR="00D50FA5" w:rsidRPr="00873F20">
        <w:t>dans leurs foyers en se fondant</w:t>
      </w:r>
      <w:r w:rsidR="002E280B" w:rsidRPr="00873F20">
        <w:t xml:space="preserve"> </w:t>
      </w:r>
      <w:r w:rsidR="00AA693B" w:rsidRPr="00873F20">
        <w:t xml:space="preserve">parfois </w:t>
      </w:r>
      <w:r w:rsidRPr="00873F20">
        <w:t xml:space="preserve">dans les flux de réfugiés syriens, qui s’en prennent aux </w:t>
      </w:r>
      <w:r w:rsidR="00C60DC6">
        <w:t>grandes ville</w:t>
      </w:r>
      <w:r w:rsidRPr="00873F20">
        <w:t>s européennes et répandent les germes d’une instabilité grandissante.</w:t>
      </w:r>
    </w:p>
    <w:p w14:paraId="20BECADC" w14:textId="77777777" w:rsidR="00D55FEA" w:rsidRPr="00873F20" w:rsidRDefault="00D55FEA" w:rsidP="00D55FEA"/>
    <w:p w14:paraId="52791F88" w14:textId="1CDEB19C" w:rsidR="00D55FEA" w:rsidRPr="00873F20" w:rsidRDefault="00D55FEA" w:rsidP="00C02C3A">
      <w:pPr>
        <w:numPr>
          <w:ilvl w:val="0"/>
          <w:numId w:val="4"/>
        </w:numPr>
        <w:ind w:left="0" w:firstLine="0"/>
      </w:pPr>
      <w:r w:rsidRPr="00873F20">
        <w:t xml:space="preserve">En réponse à cette nouvelle donne en matière de sécurité, les Alliés réunis au sommet du pays de Galles en septembre 2014 ont annoncé le lancement de deux </w:t>
      </w:r>
      <w:r w:rsidR="002E280B" w:rsidRPr="00873F20">
        <w:t>objectifs</w:t>
      </w:r>
      <w:r w:rsidRPr="00873F20">
        <w:t xml:space="preserve"> majeurs, à savoir le plan d’action « r</w:t>
      </w:r>
      <w:r w:rsidR="00AA693B" w:rsidRPr="00873F20">
        <w:t xml:space="preserve">éactivité » (RAP) et </w:t>
      </w:r>
      <w:r w:rsidRPr="00873F20">
        <w:t>l’engagement en</w:t>
      </w:r>
      <w:r w:rsidR="00AA693B" w:rsidRPr="00873F20">
        <w:t xml:space="preserve"> matière de dépenses de défense</w:t>
      </w:r>
      <w:r w:rsidR="009A1CF4" w:rsidRPr="00873F20">
        <w:t>. Ces</w:t>
      </w:r>
      <w:r w:rsidR="00AA693B" w:rsidRPr="00873F20">
        <w:t xml:space="preserve"> </w:t>
      </w:r>
      <w:r w:rsidR="00D5537F" w:rsidRPr="00873F20">
        <w:t xml:space="preserve">mesures </w:t>
      </w:r>
      <w:r w:rsidR="009A1CF4" w:rsidRPr="00873F20">
        <w:t xml:space="preserve">d’adaptation </w:t>
      </w:r>
      <w:r w:rsidR="00C60DC6">
        <w:t xml:space="preserve">ont été </w:t>
      </w:r>
      <w:r w:rsidR="009A1CF4" w:rsidRPr="00873F20">
        <w:t xml:space="preserve">décrétées d’urgence </w:t>
      </w:r>
      <w:r w:rsidR="00C60DC6">
        <w:t>pour</w:t>
      </w:r>
      <w:r w:rsidR="009A1CF4" w:rsidRPr="00873F20">
        <w:t xml:space="preserve"> permettre de </w:t>
      </w:r>
      <w:r w:rsidR="00AA693B" w:rsidRPr="00873F20">
        <w:t>faire face à des crises éventuelles et de rassurer les Alliés situés sur les flan</w:t>
      </w:r>
      <w:r w:rsidR="00C60DC6">
        <w:t>cs est et s</w:t>
      </w:r>
      <w:r w:rsidR="00AA693B" w:rsidRPr="00873F20">
        <w:t>ud</w:t>
      </w:r>
      <w:r w:rsidR="004424B1" w:rsidRPr="00873F20">
        <w:t xml:space="preserve"> de l’Alliance, qui </w:t>
      </w:r>
      <w:r w:rsidR="009A1CF4" w:rsidRPr="00873F20">
        <w:t>subiss</w:t>
      </w:r>
      <w:r w:rsidR="00AA693B" w:rsidRPr="00873F20">
        <w:t>ent</w:t>
      </w:r>
      <w:r w:rsidR="009A1CF4" w:rsidRPr="00873F20">
        <w:t xml:space="preserve"> de</w:t>
      </w:r>
      <w:r w:rsidR="006B431E">
        <w:t xml:space="preserve"> plein fouet les retombées de ce</w:t>
      </w:r>
      <w:r w:rsidR="00BE4BDF" w:rsidRPr="00873F20">
        <w:t xml:space="preserve"> </w:t>
      </w:r>
      <w:r w:rsidR="00AA693B" w:rsidRPr="00873F20">
        <w:t>nouveau contexte sécuritaire.</w:t>
      </w:r>
    </w:p>
    <w:p w14:paraId="0BBB746F" w14:textId="77777777" w:rsidR="00D55FEA" w:rsidRPr="00873F20" w:rsidRDefault="00D55FEA" w:rsidP="00D55FEA"/>
    <w:p w14:paraId="316E7980" w14:textId="7D492917" w:rsidR="00D55FEA" w:rsidRPr="00873F20" w:rsidRDefault="002E280B" w:rsidP="00C02C3A">
      <w:pPr>
        <w:numPr>
          <w:ilvl w:val="0"/>
          <w:numId w:val="4"/>
        </w:numPr>
        <w:ind w:left="0" w:firstLine="0"/>
      </w:pPr>
      <w:r w:rsidRPr="00873F20">
        <w:t>Presqu</w:t>
      </w:r>
      <w:r w:rsidR="004F5260" w:rsidRPr="00873F20">
        <w:t>e</w:t>
      </w:r>
      <w:r w:rsidR="00D55FEA" w:rsidRPr="00873F20">
        <w:t xml:space="preserve"> deux années se sont écoulées depuis le sommet du pays de Galle</w:t>
      </w:r>
      <w:r w:rsidR="004F5260" w:rsidRPr="00873F20">
        <w:t>s, et le double défi touchant</w:t>
      </w:r>
      <w:r w:rsidRPr="00873F20">
        <w:t xml:space="preserve"> les flancs </w:t>
      </w:r>
      <w:r w:rsidR="00F96463" w:rsidRPr="00873F20">
        <w:t xml:space="preserve">est et sud </w:t>
      </w:r>
      <w:r w:rsidR="00D55FEA" w:rsidRPr="00873F20">
        <w:t xml:space="preserve">s’est encore aggravé. L’intervention de la Russie en Syrie, de même que le risque de voir les troubles intérieurs s’étendre et s’aggraver, témoignent clairement d’une évolution rapide des variables pesant sur la sécurité européenne. L’OTAN éprouve de plus en plus </w:t>
      </w:r>
      <w:r w:rsidR="004F5260" w:rsidRPr="00873F20">
        <w:t xml:space="preserve">de </w:t>
      </w:r>
      <w:r w:rsidR="00D55FEA" w:rsidRPr="00873F20">
        <w:t>difficultés à partager ses efforts entre la défense collective</w:t>
      </w:r>
      <w:r w:rsidR="004F5260" w:rsidRPr="00873F20">
        <w:t xml:space="preserve"> de ses territoires situés à l’e</w:t>
      </w:r>
      <w:r w:rsidR="00D55FEA" w:rsidRPr="00873F20">
        <w:t xml:space="preserve">st et </w:t>
      </w:r>
      <w:r w:rsidR="004424B1" w:rsidRPr="00873F20">
        <w:t>la gestion des</w:t>
      </w:r>
      <w:r w:rsidR="00D55FEA" w:rsidRPr="00873F20">
        <w:t xml:space="preserve"> conséquences de la détérioration qui se</w:t>
      </w:r>
      <w:r w:rsidR="00C60DC6">
        <w:t xml:space="preserve"> poursuit le long de son flanc s</w:t>
      </w:r>
      <w:r w:rsidR="00D55FEA" w:rsidRPr="00873F20">
        <w:t xml:space="preserve">ud. </w:t>
      </w:r>
    </w:p>
    <w:p w14:paraId="7637FFA9" w14:textId="77777777" w:rsidR="00D55FEA" w:rsidRPr="00873F20" w:rsidRDefault="00D55FEA" w:rsidP="00D55FEA">
      <w:pPr>
        <w:pStyle w:val="ListParagraph"/>
        <w:rPr>
          <w:lang w:val="fr-FR"/>
        </w:rPr>
      </w:pPr>
    </w:p>
    <w:p w14:paraId="5D57E044" w14:textId="2192E0C6" w:rsidR="004424B1" w:rsidRPr="00873F20" w:rsidRDefault="004424B1" w:rsidP="00C02C3A">
      <w:pPr>
        <w:numPr>
          <w:ilvl w:val="0"/>
          <w:numId w:val="4"/>
        </w:numPr>
        <w:ind w:left="0" w:firstLine="0"/>
      </w:pPr>
      <w:r w:rsidRPr="00873F20">
        <w:t>Lors du récent sommet tenu à Varsovie en juillet 2016, l’Alliance a pris l’engagemen</w:t>
      </w:r>
      <w:r w:rsidR="009A1CF4" w:rsidRPr="00873F20">
        <w:t>t d’aller au-delà des mesures de ré</w:t>
      </w:r>
      <w:r w:rsidRPr="00873F20">
        <w:t xml:space="preserve">assurance adoptées en urgence pour s’atteler à des réaménagements structurels plus permanents de sa posture de dissuasion, en particulier sur son flanc </w:t>
      </w:r>
      <w:r w:rsidR="00C60DC6">
        <w:t>e</w:t>
      </w:r>
      <w:r w:rsidRPr="00873F20">
        <w:t xml:space="preserve">st. Face à </w:t>
      </w:r>
      <w:r w:rsidR="009A1CF4" w:rsidRPr="00873F20">
        <w:t>l’éventail</w:t>
      </w:r>
      <w:r w:rsidRPr="00873F20">
        <w:t xml:space="preserve"> des menaces pesant sur les frontières orientale et méridionale, les pays membres de l’OTAN définissent aujourd’hui les paramètres </w:t>
      </w:r>
      <w:r w:rsidR="00C60DC6">
        <w:t>selon lesquels</w:t>
      </w:r>
      <w:r w:rsidR="009A1CF4" w:rsidRPr="00873F20">
        <w:t xml:space="preserve"> ils s’emploieront</w:t>
      </w:r>
      <w:r w:rsidRPr="00873F20">
        <w:t xml:space="preserve">, tout en réaffirmant leur posture nucléaire, </w:t>
      </w:r>
      <w:r w:rsidR="009A1CF4" w:rsidRPr="00873F20">
        <w:t xml:space="preserve">à </w:t>
      </w:r>
      <w:r w:rsidRPr="00873F20">
        <w:t xml:space="preserve">opérer une reconfiguration délicate de leurs forces conventionnelles et de leur système naissant de défense antimissile. Avec les modifications présentées à Varsovie, l’Alliance se donne les moyens de mettre en place une posture de dissuasion conventionnelle certes plus souple et plus mobile, mais restant néanmoins en </w:t>
      </w:r>
      <w:r w:rsidR="004F3B9A" w:rsidRPr="00873F20">
        <w:t>deçà</w:t>
      </w:r>
      <w:r w:rsidRPr="00873F20">
        <w:t xml:space="preserve"> des déploiements « importants » proscrits par l’Acte fondateur OTAN-Russie de 1997. En se montra</w:t>
      </w:r>
      <w:r w:rsidR="00C60DC6">
        <w:t>nt résolument unis au cours du s</w:t>
      </w:r>
      <w:r w:rsidRPr="00873F20">
        <w:t>ommet, les Alliés ont par ailleurs clairement réaffirmé leur attachement aux garanties de l’</w:t>
      </w:r>
      <w:r w:rsidR="00D52A05">
        <w:t>a</w:t>
      </w:r>
      <w:r w:rsidR="00A87841" w:rsidRPr="00873F20">
        <w:t>rticle 5</w:t>
      </w:r>
      <w:r w:rsidRPr="00873F20">
        <w:t>.</w:t>
      </w:r>
    </w:p>
    <w:p w14:paraId="0F4383DF" w14:textId="77777777" w:rsidR="004424B1" w:rsidRPr="00873F20" w:rsidRDefault="004424B1" w:rsidP="004424B1"/>
    <w:p w14:paraId="2C26BC75" w14:textId="27D59A7A" w:rsidR="004424B1" w:rsidRPr="00873F20" w:rsidRDefault="004424B1" w:rsidP="00C02C3A">
      <w:pPr>
        <w:numPr>
          <w:ilvl w:val="0"/>
          <w:numId w:val="4"/>
        </w:numPr>
        <w:ind w:left="0" w:firstLine="0"/>
      </w:pPr>
      <w:r w:rsidRPr="00873F20">
        <w:t>Cela dit, l’après-Varsovie reste marqué par des incertitudes majeures qui, sur fond de défis sécuritaires inédits, ne manqueront pas de peser sur le maintien de la solidarité et de la crédibilité de l’Alliance. On pense notamment à la réaction de la Russie face à la nouvelle posture de l’OTAN ; en effet, le subtil équilibrage des ajustements qui devront s’opérer de part et d’autre sera particulièrement révélateur de l’aptitude des protagonistes à s’abstenir d’opter pour des mesures qui laisseraient présumer des velléités accrues d’agression. Quid, par ailleurs, des moyens qui pourront être mis en œuvre face à l’afflux de plus en plus massif de réfugiés auquel on devrait assister dans le sillage des conflits et de la déstabilisation qui continueront de sévir dans « l’arc d’instabilité » r</w:t>
      </w:r>
      <w:r w:rsidR="00C60DC6">
        <w:t>ecouvrant aujourd’hui le flanc s</w:t>
      </w:r>
      <w:r w:rsidRPr="00873F20">
        <w:t>ud, et en particulier la zone allant de la mer Égée à l’ensemble de la Méditerranée ?</w:t>
      </w:r>
    </w:p>
    <w:p w14:paraId="6518A20E" w14:textId="77777777" w:rsidR="004424B1" w:rsidRPr="00873F20" w:rsidRDefault="004424B1" w:rsidP="004424B1"/>
    <w:p w14:paraId="7D0DCCD9" w14:textId="2F7DFAF5" w:rsidR="004424B1" w:rsidRPr="00873F20" w:rsidRDefault="00873F20" w:rsidP="00873F20">
      <w:pPr>
        <w:keepNext/>
        <w:keepLines/>
        <w:rPr>
          <w:rFonts w:eastAsia="Calibri"/>
        </w:rPr>
      </w:pPr>
      <w:r>
        <w:t>6.</w:t>
      </w:r>
      <w:r>
        <w:tab/>
      </w:r>
      <w:r w:rsidR="00C53886" w:rsidRPr="00873F20">
        <w:t>Alors que</w:t>
      </w:r>
      <w:r w:rsidR="004424B1" w:rsidRPr="00873F20">
        <w:t xml:space="preserve">, dans le sillage d’une crise financière qui a </w:t>
      </w:r>
      <w:r w:rsidR="00C53886" w:rsidRPr="00873F20">
        <w:t>mis</w:t>
      </w:r>
      <w:r w:rsidR="004424B1" w:rsidRPr="00873F20">
        <w:t xml:space="preserve"> les économies nationales</w:t>
      </w:r>
      <w:r w:rsidR="00C53886" w:rsidRPr="00873F20">
        <w:t xml:space="preserve"> au tapis</w:t>
      </w:r>
      <w:r w:rsidR="004424B1" w:rsidRPr="00873F20">
        <w:t>, les dépenses de défense cherchent toujours à retrouver leur</w:t>
      </w:r>
      <w:r w:rsidR="00C60DC6">
        <w:t>s</w:t>
      </w:r>
      <w:r w:rsidR="004424B1" w:rsidRPr="00873F20">
        <w:t xml:space="preserve"> marques</w:t>
      </w:r>
      <w:r w:rsidR="00C53886" w:rsidRPr="00873F20">
        <w:t>,</w:t>
      </w:r>
      <w:r w:rsidR="009A1CF4" w:rsidRPr="00873F20">
        <w:t xml:space="preserve"> et dans un contexte </w:t>
      </w:r>
      <w:r w:rsidR="004424B1" w:rsidRPr="00873F20">
        <w:t xml:space="preserve">de perceptions clivées de la menace, </w:t>
      </w:r>
      <w:r w:rsidR="00C53886" w:rsidRPr="00873F20">
        <w:rPr>
          <w:rFonts w:eastAsia="Calibri"/>
        </w:rPr>
        <w:t xml:space="preserve">de réticences à recourir à la force et d’environnements sécuritaires nationaux en évolution, </w:t>
      </w:r>
      <w:r w:rsidR="00956EEB" w:rsidRPr="00873F20">
        <w:rPr>
          <w:rFonts w:eastAsia="Calibri"/>
        </w:rPr>
        <w:t xml:space="preserve">l’efficacité, la </w:t>
      </w:r>
      <w:r w:rsidR="006B431E">
        <w:rPr>
          <w:rFonts w:eastAsia="Calibri"/>
        </w:rPr>
        <w:t>fiab</w:t>
      </w:r>
      <w:r w:rsidR="00956EEB" w:rsidRPr="00873F20">
        <w:rPr>
          <w:rFonts w:eastAsia="Calibri"/>
        </w:rPr>
        <w:t xml:space="preserve">ilité et l’unité d’action de l’Alliance sont aujourd’hui remises en question. </w:t>
      </w:r>
      <w:r w:rsidR="00C53886" w:rsidRPr="00873F20">
        <w:rPr>
          <w:rFonts w:eastAsia="Calibri"/>
        </w:rPr>
        <w:t>Bref, la crédibilité de l’Alliance est aujourd’hui mise à l’épreuve comme elle</w:t>
      </w:r>
      <w:r w:rsidR="00AA1BCA" w:rsidRPr="00873F20">
        <w:rPr>
          <w:rFonts w:eastAsia="Calibri"/>
        </w:rPr>
        <w:t xml:space="preserve"> ne l’a jamais été au cours du XXI</w:t>
      </w:r>
      <w:r w:rsidR="00C53886" w:rsidRPr="00873F20">
        <w:rPr>
          <w:rFonts w:eastAsia="Calibri"/>
          <w:vertAlign w:val="superscript"/>
        </w:rPr>
        <w:t>e</w:t>
      </w:r>
      <w:r w:rsidR="00C53886" w:rsidRPr="00873F20">
        <w:rPr>
          <w:rFonts w:eastAsia="Calibri"/>
        </w:rPr>
        <w:t xml:space="preserve"> siècle.</w:t>
      </w:r>
    </w:p>
    <w:p w14:paraId="157891E7" w14:textId="77777777" w:rsidR="004424B1" w:rsidRPr="00873F20" w:rsidRDefault="004424B1" w:rsidP="004424B1"/>
    <w:p w14:paraId="0887999B" w14:textId="07567762" w:rsidR="00956EEB" w:rsidRPr="00873F20" w:rsidRDefault="00873F20" w:rsidP="00873F20">
      <w:pPr>
        <w:keepNext/>
        <w:keepLines/>
      </w:pPr>
      <w:r>
        <w:t>7.</w:t>
      </w:r>
      <w:r>
        <w:tab/>
      </w:r>
      <w:r w:rsidR="00C60DC6">
        <w:t>Depuis deux ans, la c</w:t>
      </w:r>
      <w:r w:rsidR="004F5260" w:rsidRPr="00873F20">
        <w:t>o</w:t>
      </w:r>
      <w:r w:rsidR="00D55FEA" w:rsidRPr="00873F20">
        <w:t xml:space="preserve">mmission de la défense et de la sécurité (DSC) </w:t>
      </w:r>
      <w:r w:rsidR="00956EEB" w:rsidRPr="00873F20">
        <w:t>cherche, au travers de</w:t>
      </w:r>
      <w:r w:rsidR="00C53886" w:rsidRPr="00873F20">
        <w:t xml:space="preserve"> la majorité de</w:t>
      </w:r>
      <w:r w:rsidR="00D55FEA" w:rsidRPr="00873F20">
        <w:t xml:space="preserve"> ses rapports e</w:t>
      </w:r>
      <w:r w:rsidR="00C53886" w:rsidRPr="00873F20">
        <w:t xml:space="preserve">t </w:t>
      </w:r>
      <w:r w:rsidR="00956EEB" w:rsidRPr="00873F20">
        <w:t xml:space="preserve">de ses visites officielles, </w:t>
      </w:r>
      <w:r w:rsidR="00C53886" w:rsidRPr="00873F20">
        <w:t xml:space="preserve">à </w:t>
      </w:r>
      <w:r w:rsidR="00C60DC6">
        <w:t>comprendre</w:t>
      </w:r>
      <w:r w:rsidR="00956EEB" w:rsidRPr="00873F20">
        <w:t xml:space="preserve"> </w:t>
      </w:r>
      <w:r w:rsidR="00D55FEA" w:rsidRPr="00873F20">
        <w:t xml:space="preserve">l’environnement de sécurité </w:t>
      </w:r>
      <w:r w:rsidR="00F96463">
        <w:t xml:space="preserve">changeant </w:t>
      </w:r>
      <w:r w:rsidR="00D55FEA" w:rsidRPr="00873F20">
        <w:t>en Europ</w:t>
      </w:r>
      <w:r w:rsidR="00C53886" w:rsidRPr="00873F20">
        <w:t xml:space="preserve">e </w:t>
      </w:r>
      <w:r w:rsidR="00956EEB" w:rsidRPr="00873F20">
        <w:t xml:space="preserve">et les mesures prises par </w:t>
      </w:r>
      <w:r w:rsidR="00D55FEA" w:rsidRPr="00873F20">
        <w:t xml:space="preserve">l’OTAN </w:t>
      </w:r>
      <w:r w:rsidR="00956EEB" w:rsidRPr="00873F20">
        <w:t xml:space="preserve">pour réagir et s’adapter </w:t>
      </w:r>
      <w:r w:rsidR="00D55FEA" w:rsidRPr="00873F20">
        <w:t xml:space="preserve">face à cette nouvelle donne. </w:t>
      </w:r>
      <w:r w:rsidR="00C53886" w:rsidRPr="00873F20">
        <w:t>Ce</w:t>
      </w:r>
      <w:r w:rsidR="002E280B" w:rsidRPr="00873F20">
        <w:t xml:space="preserve"> </w:t>
      </w:r>
      <w:r w:rsidR="00D55FEA" w:rsidRPr="00873F20">
        <w:t xml:space="preserve">rapport </w:t>
      </w:r>
      <w:r w:rsidR="009775C1" w:rsidRPr="00873F20">
        <w:t>est</w:t>
      </w:r>
      <w:r w:rsidR="00D55FEA" w:rsidRPr="00873F20">
        <w:t xml:space="preserve"> essentiellement consacré </w:t>
      </w:r>
      <w:r w:rsidR="003F5D50" w:rsidRPr="00873F20">
        <w:t>à l’évolution</w:t>
      </w:r>
      <w:r w:rsidR="00956EEB" w:rsidRPr="00873F20">
        <w:t xml:space="preserve"> des</w:t>
      </w:r>
      <w:r w:rsidR="00C53886" w:rsidRPr="00873F20">
        <w:t xml:space="preserve"> </w:t>
      </w:r>
      <w:r w:rsidR="00D55FEA" w:rsidRPr="00873F20">
        <w:t xml:space="preserve">engagements de défense collective </w:t>
      </w:r>
      <w:r w:rsidR="00C53886" w:rsidRPr="00873F20">
        <w:t xml:space="preserve">entre le sommet du pays du Galles </w:t>
      </w:r>
      <w:r w:rsidR="00D55FEA" w:rsidRPr="00873F20">
        <w:t xml:space="preserve">et </w:t>
      </w:r>
      <w:r w:rsidR="00C53886" w:rsidRPr="00873F20">
        <w:t xml:space="preserve">le sommet de Varsovie, </w:t>
      </w:r>
      <w:r w:rsidR="009775C1" w:rsidRPr="00873F20">
        <w:t xml:space="preserve">et </w:t>
      </w:r>
      <w:r w:rsidR="00956EEB" w:rsidRPr="00873F20">
        <w:t>aux effets</w:t>
      </w:r>
      <w:r w:rsidR="003F5D50" w:rsidRPr="00873F20">
        <w:t xml:space="preserve"> </w:t>
      </w:r>
      <w:r w:rsidR="009775C1" w:rsidRPr="00873F20">
        <w:t>de leur mise en œuvre</w:t>
      </w:r>
      <w:r w:rsidR="00D55FEA" w:rsidRPr="00873F20">
        <w:t xml:space="preserve">. Il se conclut par une série de recommandations provisoires à caractère général formulées par la commission à </w:t>
      </w:r>
      <w:r w:rsidR="004F5260" w:rsidRPr="00873F20">
        <w:t xml:space="preserve">l’attention des </w:t>
      </w:r>
      <w:r w:rsidR="009775C1" w:rsidRPr="00873F20">
        <w:t>parlementaires</w:t>
      </w:r>
      <w:r w:rsidR="004F5260" w:rsidRPr="00873F20">
        <w:t xml:space="preserve"> des É</w:t>
      </w:r>
      <w:r w:rsidR="00D55FEA" w:rsidRPr="00873F20">
        <w:t xml:space="preserve">tats membres </w:t>
      </w:r>
      <w:r w:rsidR="009775C1" w:rsidRPr="00873F20">
        <w:t xml:space="preserve">de l’OTAN, qui, au cours de l’année qui s’annonce, </w:t>
      </w:r>
      <w:r w:rsidR="003F5D50" w:rsidRPr="00873F20">
        <w:t xml:space="preserve">verront se multiplier les </w:t>
      </w:r>
      <w:r w:rsidR="009775C1" w:rsidRPr="00873F20">
        <w:t xml:space="preserve">demandes de financement supplémentaires et </w:t>
      </w:r>
      <w:r w:rsidR="003F5D50" w:rsidRPr="00873F20">
        <w:t xml:space="preserve">les </w:t>
      </w:r>
      <w:r w:rsidR="009775C1" w:rsidRPr="00873F20">
        <w:t>nouvelles autorisations de déploiement.</w:t>
      </w:r>
    </w:p>
    <w:p w14:paraId="0F98F3E6" w14:textId="77777777" w:rsidR="00D55FEA" w:rsidRPr="00873F20" w:rsidRDefault="00D55FEA" w:rsidP="00D55FEA"/>
    <w:p w14:paraId="79D189B4" w14:textId="77777777" w:rsidR="0027223A" w:rsidRPr="00873F20" w:rsidRDefault="0027223A" w:rsidP="00D55FEA"/>
    <w:p w14:paraId="769CC5B5" w14:textId="77777777" w:rsidR="00D55FEA" w:rsidRPr="00873F20" w:rsidRDefault="00D55FEA" w:rsidP="002E280B">
      <w:pPr>
        <w:pStyle w:val="Heading1"/>
        <w:keepLines/>
        <w:ind w:left="567" w:hanging="567"/>
      </w:pPr>
      <w:bookmarkStart w:id="4" w:name="_Toc464810711"/>
      <w:r w:rsidRPr="00873F20">
        <w:t xml:space="preserve">Rappel historique et initiatives de la </w:t>
      </w:r>
      <w:r w:rsidR="00DF070F" w:rsidRPr="00873F20">
        <w:t>COMMISSION DE LA D</w:t>
      </w:r>
      <w:r w:rsidR="00D859A6" w:rsidRPr="00873F20">
        <w:t>É</w:t>
      </w:r>
      <w:r w:rsidR="00DF070F" w:rsidRPr="00873F20">
        <w:t>FENSE ET DE LA SECURIT</w:t>
      </w:r>
      <w:r w:rsidR="00D859A6" w:rsidRPr="00873F20">
        <w:t>É</w:t>
      </w:r>
      <w:bookmarkEnd w:id="4"/>
    </w:p>
    <w:p w14:paraId="5030D774" w14:textId="77777777" w:rsidR="00873F20" w:rsidRPr="00873F20" w:rsidRDefault="00873F20" w:rsidP="00873F20">
      <w:pPr>
        <w:keepNext/>
        <w:keepLines/>
      </w:pPr>
    </w:p>
    <w:p w14:paraId="472B75A6" w14:textId="2E3E5682" w:rsidR="00D55FEA" w:rsidRPr="00873F20" w:rsidRDefault="00873F20" w:rsidP="00873F20">
      <w:pPr>
        <w:keepNext/>
        <w:keepLines/>
      </w:pPr>
      <w:r>
        <w:t xml:space="preserve">8. </w:t>
      </w:r>
      <w:r>
        <w:tab/>
      </w:r>
      <w:r w:rsidR="003B6A0C" w:rsidRPr="00873F20">
        <w:t>Les États me</w:t>
      </w:r>
      <w:r w:rsidR="00652AB6" w:rsidRPr="00873F20">
        <w:t>m</w:t>
      </w:r>
      <w:r w:rsidR="003B6A0C" w:rsidRPr="00873F20">
        <w:t xml:space="preserve">bres de l’OTAN sont aujourd’hui confrontés, particulièrement en Europe, à un environnement de sécurité </w:t>
      </w:r>
      <w:r w:rsidR="00652AB6" w:rsidRPr="00873F20">
        <w:t>caractérisé par un ensemble complexe de problèmes qui les amènent à mettre en place une série de mesures d’adaptation à un rythme accéléré</w:t>
      </w:r>
      <w:r w:rsidR="003B6A0C" w:rsidRPr="00873F20">
        <w:t xml:space="preserve">. </w:t>
      </w:r>
      <w:r w:rsidR="00D55FEA" w:rsidRPr="00873F20">
        <w:t>Tout au long de l’année 2015, la DSC a porté son attention sur les défis inhérents aux tactiques de guerre hydride utilisées par la Russie et par Daech</w:t>
      </w:r>
      <w:r w:rsidR="002E280B" w:rsidRPr="00873F20">
        <w:rPr>
          <w:rStyle w:val="FootnoteReference"/>
        </w:rPr>
        <w:footnoteReference w:id="1"/>
      </w:r>
      <w:r w:rsidR="00D55FEA" w:rsidRPr="00873F20">
        <w:t xml:space="preserve">, soupesant, </w:t>
      </w:r>
      <w:r w:rsidR="002E280B" w:rsidRPr="00873F20">
        <w:t>dans son rapport général</w:t>
      </w:r>
      <w:r w:rsidR="00D55FEA" w:rsidRPr="00873F20">
        <w:t xml:space="preserve"> et lors des sessions de Budapest et de Stavanger, l</w:t>
      </w:r>
      <w:r w:rsidR="00087388" w:rsidRPr="00873F20">
        <w:t>es réponses politiques à formuler face aux menaces émanant d’É</w:t>
      </w:r>
      <w:r w:rsidR="00D55FEA" w:rsidRPr="00873F20">
        <w:t>tats ou d’acteurs non étatiques. La commission a également suivi les débats qui ont accompagné la mise en œuvre du R</w:t>
      </w:r>
      <w:r w:rsidR="002E280B" w:rsidRPr="00873F20">
        <w:t xml:space="preserve">AP et </w:t>
      </w:r>
      <w:r w:rsidR="00D55FEA" w:rsidRPr="00873F20">
        <w:t>l’engagement en matière de dépenses de défense</w:t>
      </w:r>
      <w:r w:rsidR="00652AB6" w:rsidRPr="00873F20">
        <w:t>, le</w:t>
      </w:r>
      <w:r w:rsidR="003F5D50" w:rsidRPr="00873F20">
        <w:t>s</w:t>
      </w:r>
      <w:r w:rsidR="00652AB6" w:rsidRPr="00873F20">
        <w:t>quel</w:t>
      </w:r>
      <w:r w:rsidR="003F5D50" w:rsidRPr="00873F20">
        <w:t>s</w:t>
      </w:r>
      <w:r w:rsidR="00652AB6" w:rsidRPr="00873F20">
        <w:t xml:space="preserve"> </w:t>
      </w:r>
      <w:r w:rsidR="003F5D50" w:rsidRPr="00873F20">
        <w:t xml:space="preserve">doivent </w:t>
      </w:r>
      <w:r w:rsidR="00652AB6" w:rsidRPr="00873F20">
        <w:t xml:space="preserve">fournir à l’OTAN les outils nécessaires pour </w:t>
      </w:r>
      <w:r w:rsidR="003F5D50" w:rsidRPr="00873F20">
        <w:t xml:space="preserve">faire face au nouvel environnement sécuritaire </w:t>
      </w:r>
      <w:r w:rsidR="00C60DC6">
        <w:t>sur ses flancs e</w:t>
      </w:r>
      <w:r w:rsidR="00652AB6" w:rsidRPr="00873F20">
        <w:t>st et</w:t>
      </w:r>
      <w:r w:rsidR="00C60DC6">
        <w:t xml:space="preserve"> s</w:t>
      </w:r>
      <w:r w:rsidR="00652AB6" w:rsidRPr="00873F20">
        <w:t xml:space="preserve">ud. </w:t>
      </w:r>
      <w:r w:rsidR="00D55FEA" w:rsidRPr="00873F20">
        <w:t xml:space="preserve">Elle a, dans ses rapports, dressé un bilan des obstacles </w:t>
      </w:r>
      <w:r w:rsidR="003F5D50" w:rsidRPr="00873F20">
        <w:t>majeurs</w:t>
      </w:r>
      <w:r w:rsidR="00D55FEA" w:rsidRPr="00873F20">
        <w:t xml:space="preserve"> que doit surmonter l’Alliance dans ses efforts visant, à la fois, à rassurer les Alliés et à décourager des menaces potentielles, compte tenu notamment du caractère contrasté </w:t>
      </w:r>
      <w:r w:rsidR="002E280B" w:rsidRPr="00873F20">
        <w:t xml:space="preserve">des face-à-face sur ses flancs </w:t>
      </w:r>
      <w:r w:rsidR="00C60DC6">
        <w:t>e</w:t>
      </w:r>
      <w:r w:rsidR="002E280B" w:rsidRPr="00873F20">
        <w:t xml:space="preserve">st et </w:t>
      </w:r>
      <w:r w:rsidR="00C60DC6">
        <w:t>s</w:t>
      </w:r>
      <w:r w:rsidR="00D55FEA" w:rsidRPr="00873F20">
        <w:t>ud.</w:t>
      </w:r>
    </w:p>
    <w:p w14:paraId="694D2B8E" w14:textId="77777777" w:rsidR="0027223A" w:rsidRPr="00873F20" w:rsidRDefault="0027223A" w:rsidP="0027223A"/>
    <w:p w14:paraId="508CE703" w14:textId="7C6922A2" w:rsidR="00D55FEA" w:rsidRPr="00873F20" w:rsidRDefault="00873F20" w:rsidP="00873F20">
      <w:r>
        <w:t>9.</w:t>
      </w:r>
      <w:r>
        <w:tab/>
      </w:r>
      <w:r w:rsidR="00087388" w:rsidRPr="00873F20">
        <w:t>Dans ses résolutions, la c</w:t>
      </w:r>
      <w:r w:rsidR="00D55FEA" w:rsidRPr="00873F20">
        <w:t xml:space="preserve">ommission s’est félicitée des résultats engrangés lors du sommet du pays de Galles, et en particulier des engagements </w:t>
      </w:r>
      <w:r w:rsidR="00087388" w:rsidRPr="00873F20">
        <w:t>– di</w:t>
      </w:r>
      <w:r w:rsidR="002E280B" w:rsidRPr="00873F20">
        <w:t>t</w:t>
      </w:r>
      <w:r w:rsidR="00087388" w:rsidRPr="00873F20">
        <w:t>s</w:t>
      </w:r>
      <w:r w:rsidR="00D55FEA" w:rsidRPr="00873F20">
        <w:t xml:space="preserve"> « des 2 et des 20 </w:t>
      </w:r>
      <w:r w:rsidR="00542224" w:rsidRPr="00873F20">
        <w:t>%</w:t>
      </w:r>
      <w:r w:rsidR="00D55FEA" w:rsidRPr="00873F20">
        <w:t> »</w:t>
      </w:r>
      <w:r w:rsidR="00542224" w:rsidRPr="00873F20">
        <w:rPr>
          <w:rStyle w:val="FootnoteReference"/>
        </w:rPr>
        <w:footnoteReference w:id="2"/>
      </w:r>
      <w:r w:rsidR="00D55FEA" w:rsidRPr="00873F20">
        <w:t xml:space="preserve"> – </w:t>
      </w:r>
      <w:r w:rsidR="003F5D50" w:rsidRPr="00873F20">
        <w:t xml:space="preserve">qui doivent baliser </w:t>
      </w:r>
      <w:r w:rsidR="00D55FEA" w:rsidRPr="00873F20">
        <w:t xml:space="preserve">la mise en œuvre du RAP. Comme souligné dans le rapport général </w:t>
      </w:r>
      <w:r w:rsidR="00542224" w:rsidRPr="00873F20">
        <w:t xml:space="preserve">de </w:t>
      </w:r>
      <w:r w:rsidR="00C60DC6">
        <w:t xml:space="preserve">2015, l'éventail de </w:t>
      </w:r>
      <w:r w:rsidR="00D55FEA" w:rsidRPr="00873F20">
        <w:t xml:space="preserve">menaces </w:t>
      </w:r>
      <w:r w:rsidR="00C60DC6">
        <w:t>qui pèse</w:t>
      </w:r>
      <w:r w:rsidR="00D55FEA" w:rsidRPr="00873F20">
        <w:t xml:space="preserve"> aujourd’hu</w:t>
      </w:r>
      <w:r w:rsidR="00C60DC6">
        <w:t>i sur l’Alliance, outre qu’il pourra</w:t>
      </w:r>
      <w:r w:rsidR="00D55FEA" w:rsidRPr="00873F20">
        <w:t xml:space="preserve"> amener à multiplier les consultations dans le cadre de l’article 4 du Traité de Washington, </w:t>
      </w:r>
      <w:r w:rsidR="003F5D50" w:rsidRPr="00873F20">
        <w:t>r</w:t>
      </w:r>
      <w:r w:rsidR="00C60DC6">
        <w:t>amène</w:t>
      </w:r>
      <w:r w:rsidR="003F5D50" w:rsidRPr="00873F20">
        <w:t xml:space="preserve"> par ailleurs</w:t>
      </w:r>
      <w:r w:rsidR="00652AB6" w:rsidRPr="00873F20">
        <w:t xml:space="preserve"> </w:t>
      </w:r>
      <w:r w:rsidR="003F5D50" w:rsidRPr="00873F20">
        <w:t xml:space="preserve">à l’avant-plan </w:t>
      </w:r>
      <w:r w:rsidR="00652AB6" w:rsidRPr="00873F20">
        <w:t>l’article </w:t>
      </w:r>
      <w:r w:rsidR="00D55FEA" w:rsidRPr="00873F20">
        <w:t>3, qui enjoint à tous les membres « de maintenir et d’accroître leur capacité individuelle et collective de résistance à une attaque armée ». De ce point de vue, l’engagem</w:t>
      </w:r>
      <w:r w:rsidR="00542224" w:rsidRPr="00873F20">
        <w:t>ent des 2 et des 20 %</w:t>
      </w:r>
      <w:r w:rsidR="00087388" w:rsidRPr="00873F20">
        <w:t xml:space="preserve"> apparaît </w:t>
      </w:r>
      <w:r w:rsidR="00DF070F" w:rsidRPr="00873F20">
        <w:t>d’aut</w:t>
      </w:r>
      <w:r w:rsidR="00087388" w:rsidRPr="00873F20">
        <w:t xml:space="preserve">ant </w:t>
      </w:r>
      <w:r w:rsidR="00D55FEA" w:rsidRPr="00873F20">
        <w:t>plus essentiel.</w:t>
      </w:r>
    </w:p>
    <w:p w14:paraId="488744AB" w14:textId="77777777" w:rsidR="0027223A" w:rsidRPr="00873F20" w:rsidRDefault="0027223A" w:rsidP="0027223A"/>
    <w:p w14:paraId="08622127" w14:textId="395BB013" w:rsidR="00D55FEA" w:rsidRPr="00873F20" w:rsidRDefault="00873F20" w:rsidP="00873F20">
      <w:r>
        <w:t>10.</w:t>
      </w:r>
      <w:r>
        <w:tab/>
      </w:r>
      <w:r w:rsidR="00D55FEA" w:rsidRPr="00873F20">
        <w:t xml:space="preserve">Les visites </w:t>
      </w:r>
      <w:r w:rsidR="00C60DC6" w:rsidRPr="00873F20">
        <w:t xml:space="preserve">récemment </w:t>
      </w:r>
      <w:r w:rsidR="00D55FEA" w:rsidRPr="00873F20">
        <w:t>effectuées par la comm</w:t>
      </w:r>
      <w:r w:rsidR="00652AB6" w:rsidRPr="00873F20">
        <w:t xml:space="preserve">ission en Pologne, en France, </w:t>
      </w:r>
      <w:r w:rsidR="00D55FEA" w:rsidRPr="00873F20">
        <w:t xml:space="preserve">en </w:t>
      </w:r>
      <w:r w:rsidR="00652AB6" w:rsidRPr="00873F20">
        <w:t xml:space="preserve">Italie, en Lituanie, en Lettonie et en </w:t>
      </w:r>
      <w:r w:rsidR="00393266" w:rsidRPr="00873F20">
        <w:t xml:space="preserve">Estonie </w:t>
      </w:r>
      <w:r w:rsidR="007D348B" w:rsidRPr="00873F20">
        <w:t>(</w:t>
      </w:r>
      <w:r w:rsidR="006B431E">
        <w:t xml:space="preserve">en </w:t>
      </w:r>
      <w:r w:rsidR="007D348B" w:rsidRPr="00873F20">
        <w:t xml:space="preserve">2014 et 2015) </w:t>
      </w:r>
      <w:r w:rsidR="00D55FEA" w:rsidRPr="00873F20">
        <w:t xml:space="preserve">ont montré combien il était difficile de </w:t>
      </w:r>
      <w:r w:rsidR="004133EC" w:rsidRPr="00873F20">
        <w:t>se tenir prêt</w:t>
      </w:r>
      <w:r w:rsidR="00652AB6" w:rsidRPr="00873F20">
        <w:t xml:space="preserve"> et de </w:t>
      </w:r>
      <w:r w:rsidR="007D348B" w:rsidRPr="00873F20">
        <w:t>répondre</w:t>
      </w:r>
      <w:r w:rsidR="00D55FEA" w:rsidRPr="00873F20">
        <w:t xml:space="preserve"> simultanément aux menaces présentes sur les flancs </w:t>
      </w:r>
      <w:r w:rsidR="00C60DC6">
        <w:t>e</w:t>
      </w:r>
      <w:r w:rsidR="00542224" w:rsidRPr="00873F20">
        <w:t xml:space="preserve">st et </w:t>
      </w:r>
      <w:r w:rsidR="00C60DC6">
        <w:t>s</w:t>
      </w:r>
      <w:r w:rsidR="00D55FEA" w:rsidRPr="00873F20">
        <w:t>ud. Les rencont</w:t>
      </w:r>
      <w:r w:rsidR="00087388" w:rsidRPr="00873F20">
        <w:t>res avec les représentants des p</w:t>
      </w:r>
      <w:r w:rsidR="00D55FEA" w:rsidRPr="00873F20">
        <w:t>arlements et des forces terrestres, aériennes et navales de ces pays</w:t>
      </w:r>
      <w:r w:rsidR="007D348B" w:rsidRPr="00873F20">
        <w:t>,</w:t>
      </w:r>
      <w:r w:rsidR="00D55FEA" w:rsidRPr="00873F20">
        <w:t xml:space="preserve"> ainsi que l’exercice </w:t>
      </w:r>
      <w:r w:rsidR="00D55FEA" w:rsidRPr="00873F20">
        <w:rPr>
          <w:i/>
        </w:rPr>
        <w:t xml:space="preserve">Trident </w:t>
      </w:r>
      <w:proofErr w:type="spellStart"/>
      <w:r w:rsidR="00D55FEA" w:rsidRPr="00873F20">
        <w:rPr>
          <w:i/>
        </w:rPr>
        <w:t>Juncture</w:t>
      </w:r>
      <w:proofErr w:type="spellEnd"/>
      <w:r w:rsidR="007D348B" w:rsidRPr="00873F20">
        <w:t xml:space="preserve"> de l’OTAN</w:t>
      </w:r>
      <w:r w:rsidR="00D55FEA" w:rsidRPr="00873F20">
        <w:t xml:space="preserve"> auquel ils </w:t>
      </w:r>
      <w:r w:rsidR="004133EC" w:rsidRPr="00873F20">
        <w:t>ont</w:t>
      </w:r>
      <w:r w:rsidR="00D55FEA" w:rsidRPr="00873F20">
        <w:t xml:space="preserve"> assisté en tant qu’observateurs, ont convaincu les </w:t>
      </w:r>
      <w:r w:rsidR="00EA772A" w:rsidRPr="00873F20">
        <w:t>délégués de la DSC</w:t>
      </w:r>
      <w:r w:rsidR="00D55FEA" w:rsidRPr="00873F20">
        <w:t xml:space="preserve"> du caractère de plus en plus complexe de l’environnement de sécurité </w:t>
      </w:r>
      <w:r w:rsidR="00EA772A" w:rsidRPr="00873F20">
        <w:t>auquel se trouvent confrontés</w:t>
      </w:r>
      <w:r w:rsidR="00D55FEA" w:rsidRPr="00873F20">
        <w:t xml:space="preserve"> les </w:t>
      </w:r>
      <w:r w:rsidR="00C60DC6">
        <w:t xml:space="preserve">pays </w:t>
      </w:r>
      <w:r w:rsidR="00D55FEA" w:rsidRPr="00873F20">
        <w:t xml:space="preserve">membres de l’Alliance. Les </w:t>
      </w:r>
      <w:r w:rsidR="004133EC" w:rsidRPr="00873F20">
        <w:t>délégués</w:t>
      </w:r>
      <w:r w:rsidR="00D55FEA" w:rsidRPr="00873F20">
        <w:t xml:space="preserve"> de la DSC ont </w:t>
      </w:r>
      <w:r w:rsidR="007D348B" w:rsidRPr="00873F20">
        <w:t xml:space="preserve">bien </w:t>
      </w:r>
      <w:r w:rsidR="00D55FEA" w:rsidRPr="00873F20">
        <w:t xml:space="preserve">compris, au contact de la réalité, </w:t>
      </w:r>
      <w:r w:rsidR="007D348B" w:rsidRPr="00873F20">
        <w:t>combien il est important</w:t>
      </w:r>
      <w:r w:rsidR="00EA772A" w:rsidRPr="00873F20">
        <w:t xml:space="preserve"> de pouvoir s’appuyer sur </w:t>
      </w:r>
      <w:r w:rsidR="00D55FEA" w:rsidRPr="00873F20">
        <w:t xml:space="preserve">des forces très performantes et interopérables, </w:t>
      </w:r>
      <w:r w:rsidR="007D348B" w:rsidRPr="00873F20">
        <w:t>de pousser plus loin</w:t>
      </w:r>
      <w:r w:rsidR="00D55FEA" w:rsidRPr="00873F20">
        <w:t xml:space="preserve"> la mise en commun du renseignement </w:t>
      </w:r>
      <w:r w:rsidR="00EA772A" w:rsidRPr="00873F20">
        <w:t>et</w:t>
      </w:r>
      <w:r w:rsidR="00D55FEA" w:rsidRPr="00873F20">
        <w:t xml:space="preserve"> de renforcer la coopération avec les orga</w:t>
      </w:r>
      <w:r w:rsidR="00087388" w:rsidRPr="00873F20">
        <w:t>nisations et les partenaires, sur le</w:t>
      </w:r>
      <w:r w:rsidR="00D55FEA" w:rsidRPr="00873F20">
        <w:t xml:space="preserve"> plan intérieur et à l’étranger. </w:t>
      </w:r>
    </w:p>
    <w:p w14:paraId="379E7E28" w14:textId="77777777" w:rsidR="0027223A" w:rsidRPr="00873F20" w:rsidRDefault="0027223A" w:rsidP="0027223A">
      <w:pPr>
        <w:rPr>
          <w:i/>
        </w:rPr>
      </w:pPr>
    </w:p>
    <w:p w14:paraId="565A85B8" w14:textId="77777777" w:rsidR="00D55FEA" w:rsidRPr="00873F20" w:rsidRDefault="00D55FEA" w:rsidP="00DF070F">
      <w:pPr>
        <w:pStyle w:val="Heading2"/>
        <w:tabs>
          <w:tab w:val="clear" w:pos="567"/>
        </w:tabs>
        <w:ind w:left="1134"/>
      </w:pPr>
      <w:bookmarkStart w:id="5" w:name="_Toc464810712"/>
      <w:r w:rsidRPr="00873F20">
        <w:t>R</w:t>
      </w:r>
      <w:r w:rsidR="00D859A6" w:rsidRPr="00873F20">
        <w:t>É</w:t>
      </w:r>
      <w:r w:rsidRPr="00873F20">
        <w:t>assurance et nouvelle posture de dissuasion</w:t>
      </w:r>
      <w:bookmarkEnd w:id="5"/>
    </w:p>
    <w:p w14:paraId="69C8BEBB" w14:textId="77777777" w:rsidR="0027223A" w:rsidRPr="00873F20" w:rsidRDefault="0027223A" w:rsidP="0027223A"/>
    <w:p w14:paraId="5549F26F" w14:textId="678B8D0A" w:rsidR="00D55FEA" w:rsidRPr="00873F20" w:rsidRDefault="00D55FEA" w:rsidP="00825AB9">
      <w:pPr>
        <w:numPr>
          <w:ilvl w:val="0"/>
          <w:numId w:val="7"/>
        </w:numPr>
        <w:ind w:left="0" w:firstLine="0"/>
      </w:pPr>
      <w:r w:rsidRPr="00873F20">
        <w:t xml:space="preserve">L’OTAN est une alliance politico-militaire qui a connu une évolution </w:t>
      </w:r>
      <w:r w:rsidR="00087388" w:rsidRPr="00873F20">
        <w:t>radicale depuis l’époque de la g</w:t>
      </w:r>
      <w:r w:rsidRPr="00873F20">
        <w:t>uerre froide, et ce sur tous les plans. Du point de vue politiq</w:t>
      </w:r>
      <w:r w:rsidR="00087388" w:rsidRPr="00873F20">
        <w:t>ue, elle compte aujourd’hui 28 É</w:t>
      </w:r>
      <w:r w:rsidRPr="00873F20">
        <w:t>tats membres</w:t>
      </w:r>
      <w:r w:rsidRPr="00873F20">
        <w:rPr>
          <w:rStyle w:val="FootnoteReference"/>
        </w:rPr>
        <w:footnoteReference w:id="3"/>
      </w:r>
      <w:r w:rsidR="007D348B" w:rsidRPr="00873F20">
        <w:t xml:space="preserve">, </w:t>
      </w:r>
      <w:r w:rsidRPr="00873F20">
        <w:t xml:space="preserve">s’étend </w:t>
      </w:r>
      <w:r w:rsidR="009B218D" w:rsidRPr="00873F20">
        <w:t>en direction de</w:t>
      </w:r>
      <w:r w:rsidRPr="00873F20">
        <w:t xml:space="preserve"> </w:t>
      </w:r>
      <w:r w:rsidR="007D348B" w:rsidRPr="00873F20">
        <w:t xml:space="preserve">l’Europe centrale et orientale et </w:t>
      </w:r>
      <w:r w:rsidRPr="00873F20">
        <w:t>partage une longue frontière ave</w:t>
      </w:r>
      <w:r w:rsidR="004133EC" w:rsidRPr="00873F20">
        <w:t>c la Russie. Les membres réunis</w:t>
      </w:r>
      <w:r w:rsidRPr="00873F20">
        <w:t xml:space="preserve"> au sein de l</w:t>
      </w:r>
      <w:r w:rsidR="00087388" w:rsidRPr="00873F20">
        <w:t>’OTAN ont par ailleurs vécu la g</w:t>
      </w:r>
      <w:r w:rsidRPr="00873F20">
        <w:t>uerre froide de manières radicalement différentes – et donc, portent des regards divergents sur les menaces se profilant à l’est et au sud. Occupés autrefois par l’Union soviétique, les Alliés d’Europe orientale, en</w:t>
      </w:r>
      <w:r w:rsidR="00087388" w:rsidRPr="00873F20">
        <w:t xml:space="preserve"> particulier la Pologne et les É</w:t>
      </w:r>
      <w:r w:rsidRPr="00873F20">
        <w:t>tats baltes, sont nettement plus enclins à considérer que la menace émane avant tout de Mosc</w:t>
      </w:r>
      <w:r w:rsidR="009B218D" w:rsidRPr="00873F20">
        <w:t xml:space="preserve">ou, contrairement à l’Italie, à la Grèce ou à la Turquie </w:t>
      </w:r>
      <w:r w:rsidRPr="00873F20">
        <w:t xml:space="preserve">par exemple, qui se trouvent en première ligne face aux défis migratoires. </w:t>
      </w:r>
    </w:p>
    <w:p w14:paraId="10E678C0" w14:textId="77777777" w:rsidR="0027223A" w:rsidRPr="00873F20" w:rsidRDefault="0027223A" w:rsidP="0027223A"/>
    <w:p w14:paraId="74B30ADB" w14:textId="77777777" w:rsidR="00D55FEA" w:rsidRPr="00873F20" w:rsidRDefault="00D55FEA" w:rsidP="00DF070F">
      <w:pPr>
        <w:pStyle w:val="Heading2"/>
        <w:tabs>
          <w:tab w:val="clear" w:pos="567"/>
          <w:tab w:val="clear" w:pos="1134"/>
        </w:tabs>
        <w:ind w:left="1134"/>
      </w:pPr>
      <w:bookmarkStart w:id="6" w:name="_Toc464810713"/>
      <w:r w:rsidRPr="00873F20">
        <w:t>Dissuasion</w:t>
      </w:r>
      <w:bookmarkEnd w:id="6"/>
    </w:p>
    <w:p w14:paraId="13B45ABD" w14:textId="77777777" w:rsidR="0027223A" w:rsidRPr="00873F20" w:rsidRDefault="0027223A" w:rsidP="0027223A">
      <w:pPr>
        <w:rPr>
          <w:i/>
        </w:rPr>
      </w:pPr>
    </w:p>
    <w:p w14:paraId="0909BCC9" w14:textId="798E50A3" w:rsidR="00D55FEA" w:rsidRPr="00873F20" w:rsidRDefault="00D55FEA" w:rsidP="00825AB9">
      <w:pPr>
        <w:numPr>
          <w:ilvl w:val="0"/>
          <w:numId w:val="8"/>
        </w:numPr>
        <w:ind w:left="0" w:firstLine="0"/>
      </w:pPr>
      <w:r w:rsidRPr="00873F20">
        <w:t xml:space="preserve">En tant qu’alliance, l’OTAN a pour vocation première d’assurer la </w:t>
      </w:r>
      <w:r w:rsidRPr="00873F20">
        <w:rPr>
          <w:i/>
        </w:rPr>
        <w:t>dissuasion</w:t>
      </w:r>
      <w:r w:rsidRPr="00873F20">
        <w:t xml:space="preserve"> et la </w:t>
      </w:r>
      <w:r w:rsidRPr="00873F20">
        <w:rPr>
          <w:i/>
        </w:rPr>
        <w:t>défense</w:t>
      </w:r>
      <w:r w:rsidRPr="00873F20">
        <w:t xml:space="preserve"> face aux mena</w:t>
      </w:r>
      <w:r w:rsidR="00087388" w:rsidRPr="00873F20">
        <w:t>ces qui pourraient peser sur le territoire</w:t>
      </w:r>
      <w:r w:rsidRPr="00873F20">
        <w:t xml:space="preserve"> de ses membres. Pour dissuader un adversaire d’entreprendr</w:t>
      </w:r>
      <w:r w:rsidR="00087388" w:rsidRPr="00873F20">
        <w:t>e des actions indésirables, un É</w:t>
      </w:r>
      <w:r w:rsidRPr="00873F20">
        <w:t xml:space="preserve">tat ou une alliance doit pouvoir faire comprendre clairement à celui-ci que le coût d’un </w:t>
      </w:r>
      <w:r w:rsidR="00542224" w:rsidRPr="00873F20">
        <w:t>tel projet</w:t>
      </w:r>
      <w:r w:rsidRPr="00873F20">
        <w:t xml:space="preserve"> (qu’il s’agisse de mesures punitives ou de représailles) dépassera les avantages potentiels qu’il cherche à </w:t>
      </w:r>
      <w:r w:rsidR="007D348B" w:rsidRPr="00873F20">
        <w:t>en retirer</w:t>
      </w:r>
      <w:r w:rsidRPr="00873F20">
        <w:t xml:space="preserve">. Pour fonctionner, cette posture de dissuasion doit pouvoir s’appuyer sur la menace </w:t>
      </w:r>
      <w:r w:rsidRPr="00873F20">
        <w:rPr>
          <w:i/>
        </w:rPr>
        <w:t>crédible</w:t>
      </w:r>
      <w:r w:rsidRPr="00873F20">
        <w:t>, à long terme, d’un recours à de telles mesures punitives ou de représailles.</w:t>
      </w:r>
    </w:p>
    <w:p w14:paraId="559C205E" w14:textId="77777777" w:rsidR="002E280B" w:rsidRPr="00873F20" w:rsidRDefault="002E280B" w:rsidP="002E280B"/>
    <w:p w14:paraId="4F4364F6" w14:textId="102F7786" w:rsidR="00873F20" w:rsidRDefault="00D55FEA" w:rsidP="00825AB9">
      <w:pPr>
        <w:numPr>
          <w:ilvl w:val="0"/>
          <w:numId w:val="8"/>
        </w:numPr>
        <w:ind w:left="0" w:firstLine="0"/>
      </w:pPr>
      <w:r w:rsidRPr="00873F20">
        <w:t xml:space="preserve">Militairement parlant, la posture de dissuasion de l’Alliance </w:t>
      </w:r>
      <w:r w:rsidR="007D348B" w:rsidRPr="00873F20">
        <w:t>a également subi</w:t>
      </w:r>
      <w:r w:rsidR="009B218D" w:rsidRPr="00873F20">
        <w:t xml:space="preserve">, depuis </w:t>
      </w:r>
      <w:r w:rsidR="004133EC" w:rsidRPr="00873F20">
        <w:t>les 25 </w:t>
      </w:r>
      <w:r w:rsidR="009B218D" w:rsidRPr="00873F20">
        <w:t xml:space="preserve">dernières années, </w:t>
      </w:r>
      <w:r w:rsidRPr="00873F20">
        <w:t>une transform</w:t>
      </w:r>
      <w:r w:rsidR="00C60DC6">
        <w:t>ation en profondeur. Durant la g</w:t>
      </w:r>
      <w:r w:rsidRPr="00873F20">
        <w:t xml:space="preserve">uerre froide, le dispositif de dissuasion de l’OTAN face au Pacte de Varsovie reposait sur la présence, le long de ce qui était alors la frontière orientale de l’OTAN, de troupes en grand nombre appuyées par un armement lourd, le tout opérant à l’ombre d’un important bouclier nucléaire essentiellement </w:t>
      </w:r>
      <w:r w:rsidR="00542224" w:rsidRPr="00873F20">
        <w:t>états-unien</w:t>
      </w:r>
      <w:r w:rsidRPr="00873F20">
        <w:t>. Par la suite, ce modèle a évolué pour déboucher sur une forme de réponse graduée, qui donnait la possibilité aux forces conventionnelles en présence de se retirer du combat avant d’engager leurs forces nucléaires stratégiques respectives.</w:t>
      </w:r>
    </w:p>
    <w:p w14:paraId="1F5C7080" w14:textId="77777777" w:rsidR="00873F20" w:rsidRPr="00393266" w:rsidRDefault="00873F20" w:rsidP="00873F20">
      <w:pPr>
        <w:pStyle w:val="ListParagraph"/>
        <w:rPr>
          <w:lang w:val="fr-BE"/>
        </w:rPr>
      </w:pPr>
    </w:p>
    <w:p w14:paraId="158B5470" w14:textId="77777777" w:rsidR="00873F20" w:rsidRDefault="00D55FEA" w:rsidP="00825AB9">
      <w:pPr>
        <w:numPr>
          <w:ilvl w:val="0"/>
          <w:numId w:val="8"/>
        </w:numPr>
        <w:ind w:left="0" w:firstLine="0"/>
      </w:pPr>
      <w:r w:rsidRPr="00873F20">
        <w:t xml:space="preserve">Le modèle de dissuasion sur lequel s’appuie l’OTAN aujourd’hui </w:t>
      </w:r>
      <w:r w:rsidR="00C13E9C" w:rsidRPr="00873F20">
        <w:t>doit</w:t>
      </w:r>
      <w:r w:rsidRPr="00873F20">
        <w:t xml:space="preserve"> être plus souple et </w:t>
      </w:r>
      <w:r w:rsidR="00C13E9C" w:rsidRPr="00873F20">
        <w:t xml:space="preserve">plus </w:t>
      </w:r>
      <w:r w:rsidRPr="00873F20">
        <w:t xml:space="preserve">adaptable, reposer sur le renforcement rapide et la mobilité – comme l’ont montré l’adaptation de la </w:t>
      </w:r>
      <w:r w:rsidR="00542224" w:rsidRPr="00873F20">
        <w:t xml:space="preserve">Force de Réaction de l’OTAN </w:t>
      </w:r>
      <w:r w:rsidR="00087388" w:rsidRPr="00873F20">
        <w:t>(</w:t>
      </w:r>
      <w:r w:rsidR="00542224" w:rsidRPr="00873F20">
        <w:t>NRF</w:t>
      </w:r>
      <w:r w:rsidR="00087388" w:rsidRPr="00873F20">
        <w:t>)</w:t>
      </w:r>
      <w:r w:rsidR="001F7144" w:rsidRPr="00873F20">
        <w:t xml:space="preserve"> et la création</w:t>
      </w:r>
      <w:r w:rsidRPr="00873F20">
        <w:t xml:space="preserve"> de</w:t>
      </w:r>
      <w:r w:rsidR="00542224" w:rsidRPr="00873F20">
        <w:t xml:space="preserve"> la </w:t>
      </w:r>
      <w:r w:rsidR="001F7144" w:rsidRPr="00873F20">
        <w:t>force opérationnelle interarmées à très haut niveau de préparation</w:t>
      </w:r>
      <w:r w:rsidR="00542224" w:rsidRPr="00873F20">
        <w:t xml:space="preserve"> (VJTF</w:t>
      </w:r>
      <w:r w:rsidR="001F7144" w:rsidRPr="00873F20">
        <w:t xml:space="preserve">) </w:t>
      </w:r>
      <w:r w:rsidRPr="00873F20">
        <w:t xml:space="preserve">dans le sillage du plan d’action « réactivité » – et </w:t>
      </w:r>
      <w:r w:rsidR="00C13E9C" w:rsidRPr="00873F20">
        <w:t xml:space="preserve">être soutenu par </w:t>
      </w:r>
      <w:r w:rsidRPr="00873F20">
        <w:t xml:space="preserve">des forces en rotation assurant une présence permanente, le tout avec le soutien de nouvelles infrastructures déployées dans les territoires orientaux de l’Alliance. </w:t>
      </w:r>
    </w:p>
    <w:p w14:paraId="73358BA6" w14:textId="77777777" w:rsidR="00873F20" w:rsidRPr="00393266" w:rsidRDefault="00873F20" w:rsidP="00873F20">
      <w:pPr>
        <w:pStyle w:val="ListParagraph"/>
        <w:rPr>
          <w:lang w:val="fr-BE"/>
        </w:rPr>
      </w:pPr>
    </w:p>
    <w:p w14:paraId="53355459" w14:textId="06DFC756" w:rsidR="00873F20" w:rsidRDefault="00D55FEA" w:rsidP="00825AB9">
      <w:pPr>
        <w:numPr>
          <w:ilvl w:val="0"/>
          <w:numId w:val="8"/>
        </w:numPr>
        <w:ind w:left="0" w:firstLine="0"/>
      </w:pPr>
      <w:r w:rsidRPr="00873F20">
        <w:t xml:space="preserve">Fruit de décisions politiques délibérées, ce réalignement de la posture de dissuasion de l’Alliance tient également aux contraintes imposées par deux évolutions décisives des dépenses européennes de défense depuis </w:t>
      </w:r>
      <w:r w:rsidR="001F7144" w:rsidRPr="00873F20">
        <w:t>deux décennies. Les forces des É</w:t>
      </w:r>
      <w:r w:rsidRPr="00873F20">
        <w:t xml:space="preserve">tats-Unis ont réduit leur empreinte en Europe, passant de 212 000 </w:t>
      </w:r>
      <w:r w:rsidR="00551967">
        <w:t>militaires</w:t>
      </w:r>
      <w:r w:rsidRPr="00873F20">
        <w:t xml:space="preserve"> environ répartis dans toute l’Eur</w:t>
      </w:r>
      <w:r w:rsidR="001F7144" w:rsidRPr="00873F20">
        <w:t>ope occidentale à la fin de la g</w:t>
      </w:r>
      <w:r w:rsidRPr="00873F20">
        <w:t xml:space="preserve">uerre froide à 66 000 </w:t>
      </w:r>
      <w:r w:rsidR="00832CCB" w:rsidRPr="00873F20">
        <w:t>environ</w:t>
      </w:r>
      <w:r w:rsidR="00F96463">
        <w:t>,</w:t>
      </w:r>
      <w:r w:rsidR="00C60DC6">
        <w:t xml:space="preserve"> aujourd'hui</w:t>
      </w:r>
      <w:r w:rsidR="00832CCB" w:rsidRPr="00873F20">
        <w:t xml:space="preserve"> </w:t>
      </w:r>
      <w:r w:rsidRPr="00873F20">
        <w:t>concentrés essentiellement en Allemagne et en Italie (</w:t>
      </w:r>
      <w:proofErr w:type="spellStart"/>
      <w:r w:rsidRPr="00873F20">
        <w:t>Lu</w:t>
      </w:r>
      <w:r w:rsidR="001F7144" w:rsidRPr="00873F20">
        <w:t>bold</w:t>
      </w:r>
      <w:proofErr w:type="spellEnd"/>
      <w:r w:rsidR="001F7144" w:rsidRPr="00873F20">
        <w:t xml:space="preserve">, 2016 ; </w:t>
      </w:r>
      <w:proofErr w:type="spellStart"/>
      <w:r w:rsidR="001F7144" w:rsidRPr="00873F20">
        <w:t>Conley</w:t>
      </w:r>
      <w:proofErr w:type="spellEnd"/>
      <w:r w:rsidR="001F7144" w:rsidRPr="00873F20">
        <w:t>, 2016). Les É</w:t>
      </w:r>
      <w:r w:rsidRPr="00873F20">
        <w:t xml:space="preserve">tats-Unis ont </w:t>
      </w:r>
      <w:r w:rsidR="004133EC" w:rsidRPr="00873F20">
        <w:t>par ailleurs</w:t>
      </w:r>
      <w:r w:rsidRPr="00873F20">
        <w:t xml:space="preserve"> fermé nombre de leurs infrastructures terrestres en Europe (pl</w:t>
      </w:r>
      <w:r w:rsidR="001F7144" w:rsidRPr="00873F20">
        <w:t xml:space="preserve">us d’une centaine de sites </w:t>
      </w:r>
      <w:r w:rsidR="00C13E9C" w:rsidRPr="00873F20">
        <w:t>depuis</w:t>
      </w:r>
      <w:r w:rsidR="001F7144" w:rsidRPr="00873F20">
        <w:t xml:space="preserve"> 2006</w:t>
      </w:r>
      <w:r w:rsidRPr="00873F20">
        <w:t>), rapatriant par la même occasion la majorité de leurs équipements lourds (</w:t>
      </w:r>
      <w:proofErr w:type="spellStart"/>
      <w:r w:rsidRPr="00873F20">
        <w:t>Conley</w:t>
      </w:r>
      <w:proofErr w:type="spellEnd"/>
      <w:r w:rsidR="001F7144" w:rsidRPr="00873F20">
        <w:t>, 2016). Enfin, tandis que les É</w:t>
      </w:r>
      <w:r w:rsidRPr="00873F20">
        <w:t xml:space="preserve">tats-Unis </w:t>
      </w:r>
      <w:r w:rsidR="00832CCB" w:rsidRPr="00873F20">
        <w:t xml:space="preserve">procédaient à un rééquilibrage en redirigeant vers le Moyen-Orient, puis vers l’Asie, </w:t>
      </w:r>
      <w:r w:rsidRPr="00873F20">
        <w:t xml:space="preserve">leurs forces </w:t>
      </w:r>
      <w:r w:rsidR="009E439C">
        <w:t>stationnées jusque-là</w:t>
      </w:r>
      <w:r w:rsidR="00832CCB" w:rsidRPr="00873F20">
        <w:t xml:space="preserve"> </w:t>
      </w:r>
      <w:r w:rsidR="00EB0720">
        <w:t>en Europe</w:t>
      </w:r>
      <w:r w:rsidR="00832CCB" w:rsidRPr="00873F20">
        <w:t xml:space="preserve">, </w:t>
      </w:r>
      <w:r w:rsidR="001F7144" w:rsidRPr="00873F20">
        <w:t xml:space="preserve">les Européens </w:t>
      </w:r>
      <w:r w:rsidR="00832CCB" w:rsidRPr="00873F20">
        <w:t xml:space="preserve">ont, dans une large mesure, manqué de </w:t>
      </w:r>
      <w:r w:rsidR="001F7144" w:rsidRPr="00873F20">
        <w:t>réinvesti</w:t>
      </w:r>
      <w:r w:rsidR="00832CCB" w:rsidRPr="00873F20">
        <w:t xml:space="preserve">r </w:t>
      </w:r>
      <w:r w:rsidRPr="00873F20">
        <w:t>dans leurs propres forces.</w:t>
      </w:r>
    </w:p>
    <w:p w14:paraId="79A6DE92" w14:textId="689B9CE5" w:rsidR="00EB0720" w:rsidRDefault="00EB0720" w:rsidP="00EB0720"/>
    <w:p w14:paraId="10A989BC" w14:textId="77777777" w:rsidR="00873F20" w:rsidRDefault="00D55FEA" w:rsidP="00825AB9">
      <w:pPr>
        <w:numPr>
          <w:ilvl w:val="0"/>
          <w:numId w:val="8"/>
        </w:numPr>
        <w:ind w:left="0" w:firstLine="0"/>
      </w:pPr>
      <w:r w:rsidRPr="00873F20">
        <w:t>Après avoir</w:t>
      </w:r>
      <w:r w:rsidR="00C13E9C" w:rsidRPr="00873F20">
        <w:t>, dans un premier temps,</w:t>
      </w:r>
      <w:r w:rsidRPr="00873F20">
        <w:t xml:space="preserve"> recueilli les « dividendes de la pa</w:t>
      </w:r>
      <w:r w:rsidR="001F7144" w:rsidRPr="00873F20">
        <w:t>ix » à la fin de la g</w:t>
      </w:r>
      <w:r w:rsidRPr="00873F20">
        <w:t>uerre froide, on s’est complu, au cours des décennies qui suivirent la dissolution du Pacte de Varsovie, dans un sentiment d’autosatisfaction face à l’environnement de sécurité européen. Victimes de ce désintérêt persistant, les forces armées se sont vues vidées de leur substance dans le sillage de la crise financière de 2008. Les insuffisances capacitaires de l’Europe sont apparues au grand jour en 2011, lors de la campagne de l’OTAN en Libye, quand les forces européennes, désireuses de prendre la tête des opérations, ont rapidement compris que, dépourvues de moyens suffisants, elles ne seraient pas en mesure de s’acquitter de cette mission s</w:t>
      </w:r>
      <w:r w:rsidR="001F7144" w:rsidRPr="00873F20">
        <w:t>ans une aide significative des É</w:t>
      </w:r>
      <w:r w:rsidRPr="00873F20">
        <w:t>tats-Unis (</w:t>
      </w:r>
      <w:proofErr w:type="spellStart"/>
      <w:r w:rsidRPr="00873F20">
        <w:t>Daalder</w:t>
      </w:r>
      <w:proofErr w:type="spellEnd"/>
      <w:r w:rsidRPr="00873F20">
        <w:t xml:space="preserve">, 2012). Les lacunes les plus criantes concernaient les munitions à guidage de précision, les moyens </w:t>
      </w:r>
      <w:r w:rsidR="001F7144" w:rsidRPr="00873F20">
        <w:t>de renseignement, de surveillance et de reconnaissance</w:t>
      </w:r>
      <w:r w:rsidR="00542224" w:rsidRPr="00873F20">
        <w:t xml:space="preserve"> (ISR</w:t>
      </w:r>
      <w:r w:rsidR="001F7144" w:rsidRPr="00873F20">
        <w:t>)</w:t>
      </w:r>
      <w:r w:rsidRPr="00873F20">
        <w:t xml:space="preserve"> du théâtre, le transport lourd et le ravitaillement en vol.</w:t>
      </w:r>
    </w:p>
    <w:p w14:paraId="3D247062" w14:textId="77777777" w:rsidR="00873F20" w:rsidRPr="00393266" w:rsidRDefault="00873F20" w:rsidP="00873F20">
      <w:pPr>
        <w:pStyle w:val="ListParagraph"/>
        <w:rPr>
          <w:lang w:val="fr-BE"/>
        </w:rPr>
      </w:pPr>
    </w:p>
    <w:p w14:paraId="3A4DB650" w14:textId="32D7822B" w:rsidR="00D55FEA" w:rsidRPr="00873F20" w:rsidRDefault="00D55FEA" w:rsidP="00825AB9">
      <w:pPr>
        <w:numPr>
          <w:ilvl w:val="0"/>
          <w:numId w:val="8"/>
        </w:numPr>
        <w:ind w:left="0" w:firstLine="0"/>
      </w:pPr>
      <w:r w:rsidRPr="00873F20">
        <w:t>Malgré les bilans mitigés et les résultats médiocres (en termes de paix et de stabilité) de la campagne libyenne, et sur fond de désaccord de longue date avec la Russie sur la question de l’élargissement de l’OTAN, il a fallu attendre le double choc de l’intervention de Moscou en Ukraine et de l’annexion de la Crimée, ainsi que la campagne</w:t>
      </w:r>
      <w:r w:rsidR="001F7144" w:rsidRPr="00873F20">
        <w:t xml:space="preserve"> </w:t>
      </w:r>
      <w:r w:rsidRPr="00873F20">
        <w:t>éclair qui permit à Daech de s’emparer de larges pans du territoire iraquien au printemps et à l’été 2014, pour que les membres de l’Alliance réunissent la volonté politique nécessaire pour en appeler à un véritable changement, et prendre des mesures en ce sens.</w:t>
      </w:r>
    </w:p>
    <w:p w14:paraId="5257FD98" w14:textId="3215E764" w:rsidR="0027223A" w:rsidRDefault="0027223A" w:rsidP="00D55FEA"/>
    <w:p w14:paraId="0D5AB6AE" w14:textId="77777777" w:rsidR="00873F20" w:rsidRPr="00873F20" w:rsidRDefault="00873F20" w:rsidP="00D55FEA"/>
    <w:p w14:paraId="14A88497" w14:textId="4355D7F5" w:rsidR="00D55FEA" w:rsidRPr="00873F20" w:rsidRDefault="0069697D" w:rsidP="0027223A">
      <w:pPr>
        <w:pStyle w:val="Heading1"/>
        <w:ind w:left="567" w:hanging="567"/>
      </w:pPr>
      <w:bookmarkStart w:id="7" w:name="_Toc464810714"/>
      <w:r w:rsidRPr="00873F20">
        <w:t xml:space="preserve">DU PAYS DE GALLES À VARSOVIE : REMISE EN QUESTION DES HYPOTHÈSES DE L’APRÈS-GUERRE FROIDE – ADAPTATION, </w:t>
      </w:r>
      <w:r w:rsidR="00D55FEA" w:rsidRPr="00873F20">
        <w:t>r</w:t>
      </w:r>
      <w:r w:rsidR="00D859A6" w:rsidRPr="00873F20">
        <w:t>É</w:t>
      </w:r>
      <w:r w:rsidR="00D55FEA" w:rsidRPr="00873F20">
        <w:t>assurance et dissuasion</w:t>
      </w:r>
      <w:bookmarkEnd w:id="7"/>
    </w:p>
    <w:p w14:paraId="1FF35C90" w14:textId="77777777" w:rsidR="0027223A" w:rsidRPr="00873F20" w:rsidRDefault="0027223A" w:rsidP="0027223A"/>
    <w:p w14:paraId="5C9A4274" w14:textId="261A5B0B" w:rsidR="00502999" w:rsidRPr="00873F20" w:rsidRDefault="00873F20" w:rsidP="00E43218">
      <w:r>
        <w:t>18.</w:t>
      </w:r>
      <w:r>
        <w:tab/>
      </w:r>
      <w:r w:rsidR="0069697D" w:rsidRPr="00873F20">
        <w:t>Il est apparu clairement, après les chocs infligés au système international en 2014,</w:t>
      </w:r>
      <w:r w:rsidR="00EB0720">
        <w:t xml:space="preserve"> que les hypothèses de l’après-g</w:t>
      </w:r>
      <w:r w:rsidR="0069697D" w:rsidRPr="00873F20">
        <w:t>uerre froide qui avaient guidé la politique de l’OTAN au cours des deux dernières décennies ne tenaient plus la route. En gros, les Alliés</w:t>
      </w:r>
      <w:r w:rsidR="00502999" w:rsidRPr="00873F20">
        <w:t xml:space="preserve"> ont c</w:t>
      </w:r>
      <w:r w:rsidR="00EB0720">
        <w:t>ompris qu'ils ne pouvaient plus compter sur</w:t>
      </w:r>
      <w:r w:rsidR="00502999" w:rsidRPr="00873F20">
        <w:t xml:space="preserve"> des </w:t>
      </w:r>
      <w:r w:rsidR="00282929" w:rsidRPr="00873F20">
        <w:t>acquis</w:t>
      </w:r>
      <w:r w:rsidR="00502999" w:rsidRPr="00873F20">
        <w:t xml:space="preserve"> </w:t>
      </w:r>
      <w:r w:rsidR="00EB0720" w:rsidRPr="00873F20">
        <w:t>comme</w:t>
      </w:r>
      <w:r w:rsidR="00EB0720">
        <w:t xml:space="preserve"> :</w:t>
      </w:r>
      <w:r w:rsidR="00502999" w:rsidRPr="00873F20">
        <w:t xml:space="preserve"> l’absence de menace stratégique territori</w:t>
      </w:r>
      <w:r w:rsidR="009E439C">
        <w:t>ale, la non</w:t>
      </w:r>
      <w:r w:rsidR="009E439C">
        <w:noBreakHyphen/>
      </w:r>
      <w:r w:rsidR="00C13E9C" w:rsidRPr="00873F20">
        <w:t>concurrence avec l</w:t>
      </w:r>
      <w:r w:rsidR="00502999" w:rsidRPr="00873F20">
        <w:t>es interlocuteurs de même niveau ou d’un niveau comparable, la certitude de détenir la suprématie</w:t>
      </w:r>
      <w:r w:rsidR="00EB0720">
        <w:t xml:space="preserve"> aérienne et navale ou encore </w:t>
      </w:r>
      <w:r w:rsidR="009E439C">
        <w:t xml:space="preserve">le fait </w:t>
      </w:r>
      <w:r w:rsidR="00EB0720">
        <w:t xml:space="preserve">que </w:t>
      </w:r>
      <w:r w:rsidR="009E439C">
        <w:t>d</w:t>
      </w:r>
      <w:r w:rsidR="00EB0720">
        <w:t>es partenariats méridionaux mènent inévitablement à des</w:t>
      </w:r>
      <w:r w:rsidR="00282929" w:rsidRPr="00873F20">
        <w:t xml:space="preserve"> convergences </w:t>
      </w:r>
      <w:r w:rsidR="00502999" w:rsidRPr="00873F20">
        <w:t>politique</w:t>
      </w:r>
      <w:r w:rsidR="00282929" w:rsidRPr="00873F20">
        <w:t>s, économi</w:t>
      </w:r>
      <w:r w:rsidR="00E27350">
        <w:t>qu</w:t>
      </w:r>
      <w:r w:rsidR="00282929" w:rsidRPr="00873F20">
        <w:t>es et militaires</w:t>
      </w:r>
      <w:r w:rsidR="00502999" w:rsidRPr="00873F20">
        <w:t>.</w:t>
      </w:r>
    </w:p>
    <w:p w14:paraId="475D54A4" w14:textId="77777777" w:rsidR="00502999" w:rsidRPr="00873F20" w:rsidRDefault="00502999" w:rsidP="00E43218"/>
    <w:p w14:paraId="76EDC717" w14:textId="6AC49D8D" w:rsidR="0027223A" w:rsidRPr="00873F20" w:rsidRDefault="00873F20" w:rsidP="00E43218">
      <w:r>
        <w:t>19.</w:t>
      </w:r>
      <w:r>
        <w:tab/>
      </w:r>
      <w:r w:rsidR="00502999" w:rsidRPr="00873F20">
        <w:t xml:space="preserve">Ce constat a débouché sur l’adoption, entre les sommets du pays de Galles et de Varsovie, d’une série de mesures destinées à </w:t>
      </w:r>
      <w:r w:rsidR="00502999" w:rsidRPr="00873F20">
        <w:rPr>
          <w:i/>
        </w:rPr>
        <w:t>rassurer</w:t>
      </w:r>
      <w:r w:rsidR="00502999" w:rsidRPr="00873F20">
        <w:t xml:space="preserve"> </w:t>
      </w:r>
      <w:r w:rsidR="00282929" w:rsidRPr="00873F20">
        <w:t xml:space="preserve">tous </w:t>
      </w:r>
      <w:r w:rsidR="00502999" w:rsidRPr="00873F20">
        <w:t xml:space="preserve">les Alliés aux prises avec le nouvel environnement de sécurité européen et à </w:t>
      </w:r>
      <w:r w:rsidR="00502999" w:rsidRPr="00873F20">
        <w:rPr>
          <w:i/>
        </w:rPr>
        <w:t>adapter</w:t>
      </w:r>
      <w:r w:rsidR="00502999" w:rsidRPr="00873F20">
        <w:t xml:space="preserve"> la posture de l’Alliance</w:t>
      </w:r>
      <w:r w:rsidR="00282929" w:rsidRPr="00873F20">
        <w:t>,</w:t>
      </w:r>
      <w:r w:rsidR="00502999" w:rsidRPr="00873F20">
        <w:t xml:space="preserve"> de manière à </w:t>
      </w:r>
      <w:r w:rsidR="00502999" w:rsidRPr="00873F20">
        <w:rPr>
          <w:i/>
        </w:rPr>
        <w:t>dissuader</w:t>
      </w:r>
      <w:r w:rsidR="00502999" w:rsidRPr="00873F20">
        <w:t xml:space="preserve"> les forces qui chercheraient à remettre en question la souveraineté territoriale des membres de l’Alliance. </w:t>
      </w:r>
    </w:p>
    <w:p w14:paraId="4B3E779D" w14:textId="77777777" w:rsidR="00502999" w:rsidRPr="00873F20" w:rsidRDefault="00502999" w:rsidP="0027223A">
      <w:pPr>
        <w:outlineLvl w:val="1"/>
      </w:pPr>
    </w:p>
    <w:p w14:paraId="367F98BA" w14:textId="77777777" w:rsidR="00502999" w:rsidRPr="00873F20" w:rsidRDefault="00502999" w:rsidP="0027223A">
      <w:pPr>
        <w:outlineLvl w:val="1"/>
      </w:pPr>
    </w:p>
    <w:p w14:paraId="04D85907" w14:textId="329CD601" w:rsidR="00D55FEA" w:rsidRPr="00873F20" w:rsidRDefault="00D55FEA" w:rsidP="00825AB9">
      <w:pPr>
        <w:pStyle w:val="Heading2"/>
        <w:numPr>
          <w:ilvl w:val="0"/>
          <w:numId w:val="24"/>
        </w:numPr>
        <w:ind w:left="1134" w:hanging="567"/>
      </w:pPr>
      <w:bookmarkStart w:id="8" w:name="_Toc464810715"/>
      <w:r w:rsidRPr="00873F20">
        <w:t>OTAN et Russie : rassurer et renforcer le flanc est</w:t>
      </w:r>
      <w:bookmarkEnd w:id="8"/>
    </w:p>
    <w:p w14:paraId="7ADC0608" w14:textId="77777777" w:rsidR="0027223A" w:rsidRPr="00873F20" w:rsidRDefault="0027223A" w:rsidP="0027223A">
      <w:pPr>
        <w:rPr>
          <w:i/>
        </w:rPr>
      </w:pPr>
    </w:p>
    <w:p w14:paraId="65E04C5A" w14:textId="3B1683D5" w:rsidR="00D55FEA" w:rsidRPr="00873F20" w:rsidRDefault="00BC1718" w:rsidP="00825AB9">
      <w:pPr>
        <w:numPr>
          <w:ilvl w:val="0"/>
          <w:numId w:val="9"/>
        </w:numPr>
        <w:tabs>
          <w:tab w:val="clear" w:pos="567"/>
        </w:tabs>
        <w:ind w:left="0" w:firstLine="0"/>
      </w:pPr>
      <w:r w:rsidRPr="00873F20">
        <w:t xml:space="preserve">Pour être optimale, la </w:t>
      </w:r>
      <w:r w:rsidR="00D55FEA" w:rsidRPr="00873F20">
        <w:t xml:space="preserve">stratégie de dissuasion </w:t>
      </w:r>
      <w:r w:rsidRPr="00873F20">
        <w:t xml:space="preserve">de l’OTAN </w:t>
      </w:r>
      <w:r w:rsidR="00D55FEA" w:rsidRPr="00873F20">
        <w:t xml:space="preserve">sur </w:t>
      </w:r>
      <w:r w:rsidRPr="00873F20">
        <w:t xml:space="preserve">son flanc oriental, c’est-à-dire vis-à-vis de la Russie, devrait lui permettre d’atteindre </w:t>
      </w:r>
      <w:r w:rsidR="00D55FEA" w:rsidRPr="00873F20">
        <w:t xml:space="preserve">deux objectifs, à savoir, premièrement, décourager toute forme d’agression contre un </w:t>
      </w:r>
      <w:r w:rsidR="0027223A" w:rsidRPr="00873F20">
        <w:t>État</w:t>
      </w:r>
      <w:r w:rsidR="00D55FEA" w:rsidRPr="00873F20">
        <w:t xml:space="preserve"> membre de l’OTAN, et deuxièmement, instaurer un environnement propice à un redémarrage du dia</w:t>
      </w:r>
      <w:r w:rsidR="001F7144" w:rsidRPr="00873F20">
        <w:t>logue entre Moscou et les pays occidentaux</w:t>
      </w:r>
      <w:r w:rsidRPr="00873F20">
        <w:t>, de manière à amorcer une</w:t>
      </w:r>
      <w:r w:rsidR="00E27350">
        <w:t xml:space="preserve"> </w:t>
      </w:r>
      <w:r w:rsidR="00F96463">
        <w:t>ba</w:t>
      </w:r>
      <w:r w:rsidR="00E27350">
        <w:t>isse</w:t>
      </w:r>
      <w:r w:rsidRPr="00873F20">
        <w:t xml:space="preserve"> des </w:t>
      </w:r>
      <w:r w:rsidR="00D55FEA" w:rsidRPr="00873F20">
        <w:t>tensions actuelles. Comme on a pu l’entendre s</w:t>
      </w:r>
      <w:r w:rsidR="00542224" w:rsidRPr="00873F20">
        <w:t xml:space="preserve">ouvent durant les réunions de </w:t>
      </w:r>
      <w:r w:rsidRPr="00873F20">
        <w:t>la DSC</w:t>
      </w:r>
      <w:r w:rsidR="00D55FEA" w:rsidRPr="00873F20">
        <w:t xml:space="preserve">, la présence de l’Alliance dans l’est doit obéir au principe selon lequel on ne peut </w:t>
      </w:r>
      <w:r w:rsidR="00D55FEA" w:rsidRPr="00873F20">
        <w:rPr>
          <w:i/>
        </w:rPr>
        <w:t>dialoguer qu’en position de force</w:t>
      </w:r>
      <w:r w:rsidR="00D55FEA" w:rsidRPr="00873F20">
        <w:t>.</w:t>
      </w:r>
    </w:p>
    <w:p w14:paraId="68DE04D1" w14:textId="77777777" w:rsidR="0027223A" w:rsidRPr="00873F20" w:rsidRDefault="0027223A" w:rsidP="0027223A"/>
    <w:p w14:paraId="286BA3E3" w14:textId="0DBA5ED5" w:rsidR="00D55FEA" w:rsidRPr="00873F20" w:rsidRDefault="00D55FEA" w:rsidP="00825AB9">
      <w:pPr>
        <w:numPr>
          <w:ilvl w:val="0"/>
          <w:numId w:val="10"/>
        </w:numPr>
        <w:ind w:left="0" w:firstLine="0"/>
      </w:pPr>
      <w:r w:rsidRPr="00873F20">
        <w:t xml:space="preserve">De nombreuses sources </w:t>
      </w:r>
      <w:r w:rsidR="009E439C">
        <w:t>et</w:t>
      </w:r>
      <w:r w:rsidRPr="00873F20">
        <w:t xml:space="preserve"> notamment, un rapport de la </w:t>
      </w:r>
      <w:r w:rsidRPr="00873F20">
        <w:rPr>
          <w:i/>
        </w:rPr>
        <w:t>RAND Corporation</w:t>
      </w:r>
      <w:r w:rsidRPr="00873F20">
        <w:t xml:space="preserve"> intitulé « Renfor</w:t>
      </w:r>
      <w:r w:rsidR="00E27350">
        <w:t>cer la dissuasion sur le flanc e</w:t>
      </w:r>
      <w:r w:rsidRPr="00873F20">
        <w:t xml:space="preserve">st de l’OTAN » </w:t>
      </w:r>
      <w:r w:rsidR="009E439C">
        <w:t xml:space="preserve">- </w:t>
      </w:r>
      <w:r w:rsidRPr="00873F20">
        <w:t xml:space="preserve">dont il a </w:t>
      </w:r>
      <w:r w:rsidR="00542224" w:rsidRPr="00873F20">
        <w:t xml:space="preserve">été </w:t>
      </w:r>
      <w:r w:rsidR="00C20C89" w:rsidRPr="00873F20">
        <w:t>particulièrement</w:t>
      </w:r>
      <w:r w:rsidR="009E439C">
        <w:t xml:space="preserve"> question ces derniers temps-</w:t>
      </w:r>
      <w:r w:rsidRPr="00873F20">
        <w:t xml:space="preserve">, épinglent le manque de crédibilité de la posture de dissuasion appliquée actuellement par l’OTAN à l’appui des trois </w:t>
      </w:r>
      <w:r w:rsidR="0027223A" w:rsidRPr="00873F20">
        <w:t>États</w:t>
      </w:r>
      <w:r w:rsidRPr="00873F20">
        <w:t xml:space="preserve"> baltes (</w:t>
      </w:r>
      <w:proofErr w:type="spellStart"/>
      <w:r w:rsidRPr="00873F20">
        <w:t>Shlapak</w:t>
      </w:r>
      <w:proofErr w:type="spellEnd"/>
      <w:r w:rsidRPr="00873F20">
        <w:t>, 2016). Toutes les analyses consacrées aux vulnérabilités de ces trois pays soulignent d’une part, le déséquilibre entre les moyens militaires en présence dans la région et d’autre part, les difficultés liées au renforcement en cas de conflit. En effet, les Alliés de la région, à savoir la Lituanie, la Lettonie et l’Estonie,</w:t>
      </w:r>
      <w:r w:rsidR="00B75E72">
        <w:t xml:space="preserve"> ne peuvent aligner que 30</w:t>
      </w:r>
      <w:r w:rsidR="0027223A" w:rsidRPr="00873F20">
        <w:t> </w:t>
      </w:r>
      <w:r w:rsidRPr="00873F20">
        <w:t>000</w:t>
      </w:r>
      <w:r w:rsidR="00B75E72">
        <w:t xml:space="preserve"> – 40 000</w:t>
      </w:r>
      <w:r w:rsidRPr="00873F20">
        <w:t xml:space="preserve"> hommes</w:t>
      </w:r>
      <w:r w:rsidR="00B75E72">
        <w:t xml:space="preserve"> et femmes</w:t>
      </w:r>
      <w:r w:rsidRPr="00873F20">
        <w:t xml:space="preserve"> environ et sont dépourvus de véritables moyens aériens ou navals alors qu’en face</w:t>
      </w:r>
      <w:r w:rsidR="005320B1" w:rsidRPr="00873F20">
        <w:t>, le d</w:t>
      </w:r>
      <w:r w:rsidRPr="00873F20">
        <w:t>istrict militaire occidental russe peut rapidement mobiliser plusieurs dizaines de milliers d’</w:t>
      </w:r>
      <w:r w:rsidR="00C20C89" w:rsidRPr="00873F20">
        <w:t xml:space="preserve">hommes </w:t>
      </w:r>
      <w:r w:rsidR="009E439C">
        <w:t xml:space="preserve">et femmes </w:t>
      </w:r>
      <w:r w:rsidR="00C20C89" w:rsidRPr="00873F20">
        <w:t>et dispose de voies d’</w:t>
      </w:r>
      <w:r w:rsidRPr="00873F20">
        <w:t>approvisionnement convergeant vers la région. Moscou a par ailleurs</w:t>
      </w:r>
      <w:r w:rsidR="009E439C" w:rsidRPr="009E439C">
        <w:t xml:space="preserve"> </w:t>
      </w:r>
      <w:r w:rsidR="009E439C" w:rsidRPr="00873F20">
        <w:t>considérablement</w:t>
      </w:r>
      <w:r w:rsidRPr="00873F20">
        <w:t xml:space="preserve"> amélioré ses moyens </w:t>
      </w:r>
      <w:r w:rsidR="00B75E72">
        <w:t>de déni d'accès et d'interdiction</w:t>
      </w:r>
      <w:r w:rsidRPr="00873F20">
        <w:t xml:space="preserve"> de zone en acheminant des renforts dans la zone de Kaliningrad et le long de</w:t>
      </w:r>
      <w:r w:rsidR="00C20C89" w:rsidRPr="00873F20">
        <w:t xml:space="preserve"> se</w:t>
      </w:r>
      <w:r w:rsidRPr="00873F20">
        <w:t xml:space="preserve">s frontières orientales avec les trois </w:t>
      </w:r>
      <w:r w:rsidR="0027223A" w:rsidRPr="00873F20">
        <w:t>États</w:t>
      </w:r>
      <w:r w:rsidRPr="00873F20">
        <w:t xml:space="preserve"> baltes. La défense des </w:t>
      </w:r>
      <w:r w:rsidR="0027223A" w:rsidRPr="00873F20">
        <w:t>États</w:t>
      </w:r>
      <w:r w:rsidRPr="00873F20">
        <w:t xml:space="preserve"> baltes serait dès lors difficile à assurer en cas de crise, et pourrait bien s’avérer carrément impossible dans l’éventualité d’une action du type guerre</w:t>
      </w:r>
      <w:r w:rsidR="005320B1" w:rsidRPr="00873F20">
        <w:t xml:space="preserve"> </w:t>
      </w:r>
      <w:r w:rsidRPr="00873F20">
        <w:t xml:space="preserve">éclair déclenchée par les forces russes. </w:t>
      </w:r>
    </w:p>
    <w:p w14:paraId="447B0CC3" w14:textId="77777777" w:rsidR="0027223A" w:rsidRPr="00873F20" w:rsidRDefault="0027223A" w:rsidP="0027223A"/>
    <w:p w14:paraId="3FA571C0" w14:textId="049D4B2F" w:rsidR="00D55FEA" w:rsidRPr="00873F20" w:rsidRDefault="00D55FEA" w:rsidP="00825AB9">
      <w:pPr>
        <w:numPr>
          <w:ilvl w:val="0"/>
          <w:numId w:val="11"/>
        </w:numPr>
        <w:ind w:left="0" w:firstLine="0"/>
      </w:pPr>
      <w:r w:rsidRPr="00873F20">
        <w:t>Les auteurs de ces rapports se basent sur l’hypothèse selon laquelle la Russie souhaite prendre pied dans la Baltique, ce qui, en raison des coûts énormes que supposerait une telle entreprise, est sujet à caution. Une incursion russe en territoire OTAN déclencherait en effet une escalade immédiate et très rapide, avec intervention de forces de l’OTAN. Malgré ce que laissent entendre les jeux de guerre, à savoir que les forces de l’OTAN présentes sur place seraient débordées par une frappe</w:t>
      </w:r>
      <w:r w:rsidR="005320B1" w:rsidRPr="00873F20">
        <w:t xml:space="preserve"> </w:t>
      </w:r>
      <w:r w:rsidRPr="00873F20">
        <w:t>éclair opérée par des forces russes, cet engagement entraînerait à tout le moins une riposte plus large des États-Unis, qui n’aura</w:t>
      </w:r>
      <w:r w:rsidR="005320B1" w:rsidRPr="00873F20">
        <w:t xml:space="preserve">ient </w:t>
      </w:r>
      <w:r w:rsidR="00B75E72">
        <w:t>aucun</w:t>
      </w:r>
      <w:r w:rsidR="005320B1" w:rsidRPr="00873F20">
        <w:t xml:space="preserve"> intérêt à voir </w:t>
      </w:r>
      <w:r w:rsidRPr="00873F20">
        <w:t>leurs garanties de sécurité internationale</w:t>
      </w:r>
      <w:r w:rsidR="00542224" w:rsidRPr="00873F20">
        <w:t xml:space="preserve"> piétinées</w:t>
      </w:r>
      <w:r w:rsidRPr="00873F20">
        <w:t xml:space="preserve">. </w:t>
      </w:r>
      <w:r w:rsidR="00B75E72">
        <w:t>Par ailleurs, engranger</w:t>
      </w:r>
      <w:r w:rsidR="005320B1" w:rsidRPr="00873F20">
        <w:t xml:space="preserve"> et conserver de telles avancées</w:t>
      </w:r>
      <w:r w:rsidRPr="00873F20">
        <w:t xml:space="preserve"> face à des mesures aériennes et maritimes s’inscrivant dans la durée coûterait très cher aux forces </w:t>
      </w:r>
      <w:r w:rsidR="00542224" w:rsidRPr="00873F20">
        <w:t>russes</w:t>
      </w:r>
      <w:r w:rsidRPr="00873F20">
        <w:t xml:space="preserve">, qui seraient dépassées numériquement en termes d’équipements. De plus, il </w:t>
      </w:r>
      <w:r w:rsidR="005320B1" w:rsidRPr="00873F20">
        <w:t>est quasi certain que sur le</w:t>
      </w:r>
      <w:r w:rsidRPr="00873F20">
        <w:t xml:space="preserve"> plan interne, la Russie se retrouverait confrontée, pour longtemps, à des mouvements insurrectionnels.</w:t>
      </w:r>
    </w:p>
    <w:p w14:paraId="4909B595" w14:textId="77777777" w:rsidR="0027223A" w:rsidRPr="00873F20" w:rsidRDefault="0027223A" w:rsidP="0027223A"/>
    <w:p w14:paraId="1487DF03" w14:textId="73FDC119" w:rsidR="00D55FEA" w:rsidRPr="00873F20" w:rsidRDefault="00D55FEA" w:rsidP="00825AB9">
      <w:pPr>
        <w:numPr>
          <w:ilvl w:val="0"/>
          <w:numId w:val="12"/>
        </w:numPr>
        <w:ind w:left="0" w:firstLine="0"/>
      </w:pPr>
      <w:r w:rsidRPr="00873F20">
        <w:t xml:space="preserve">Il n’empêche que le rapport de la </w:t>
      </w:r>
      <w:r w:rsidRPr="00873F20">
        <w:rPr>
          <w:i/>
        </w:rPr>
        <w:t>RAND Corporation</w:t>
      </w:r>
      <w:r w:rsidRPr="00873F20">
        <w:t xml:space="preserve"> souligne à raison les problèmes liés à la crédibi</w:t>
      </w:r>
      <w:r w:rsidR="00542224" w:rsidRPr="00873F20">
        <w:t>lité de la posture de dissuasion</w:t>
      </w:r>
      <w:r w:rsidRPr="00873F20">
        <w:t xml:space="preserve"> actuelle fondée sur le RAP, et cette question </w:t>
      </w:r>
      <w:r w:rsidR="00C20C89" w:rsidRPr="00873F20">
        <w:t xml:space="preserve">a été largement </w:t>
      </w:r>
      <w:r w:rsidR="005320B1" w:rsidRPr="00873F20">
        <w:t xml:space="preserve">débattue </w:t>
      </w:r>
      <w:r w:rsidR="00C20C89" w:rsidRPr="00873F20">
        <w:t xml:space="preserve">au cours des réunions ministérielles tenues en préparation du </w:t>
      </w:r>
      <w:r w:rsidRPr="00873F20">
        <w:t>sommet de Varsovie. Les auteurs mett</w:t>
      </w:r>
      <w:r w:rsidR="00C20C89" w:rsidRPr="00873F20">
        <w:t>ai</w:t>
      </w:r>
      <w:r w:rsidRPr="00873F20">
        <w:t>ent notamment en avant, e</w:t>
      </w:r>
      <w:r w:rsidR="005320B1" w:rsidRPr="00873F20">
        <w:t xml:space="preserve">n des termes qui pourraient </w:t>
      </w:r>
      <w:r w:rsidR="00542224" w:rsidRPr="00873F20">
        <w:t>être</w:t>
      </w:r>
      <w:r w:rsidRPr="00873F20">
        <w:t xml:space="preserve"> plus explicites, le fait que la posture de dissuasion </w:t>
      </w:r>
      <w:r w:rsidR="00C20C89" w:rsidRPr="00873F20">
        <w:t>adoptée récemment par</w:t>
      </w:r>
      <w:r w:rsidRPr="00873F20">
        <w:t xml:space="preserve"> l’OTAN </w:t>
      </w:r>
      <w:r w:rsidR="00C20C89" w:rsidRPr="00873F20">
        <w:t>éloignait</w:t>
      </w:r>
      <w:r w:rsidRPr="00873F20">
        <w:t xml:space="preserve"> l’Alliance d’un scénario de </w:t>
      </w:r>
      <w:r w:rsidRPr="00873F20">
        <w:rPr>
          <w:i/>
        </w:rPr>
        <w:t>dissuasion par interdiction</w:t>
      </w:r>
      <w:r w:rsidRPr="00873F20">
        <w:t xml:space="preserve"> au profit d’une </w:t>
      </w:r>
      <w:r w:rsidRPr="00873F20">
        <w:rPr>
          <w:i/>
        </w:rPr>
        <w:t xml:space="preserve">dissuasion par </w:t>
      </w:r>
      <w:r w:rsidR="00B75E72">
        <w:rPr>
          <w:i/>
        </w:rPr>
        <w:t>représailles</w:t>
      </w:r>
      <w:r w:rsidRPr="00873F20">
        <w:t>, bien plus périlleuse et coûteuse.</w:t>
      </w:r>
    </w:p>
    <w:p w14:paraId="3B832D50" w14:textId="77777777" w:rsidR="0027223A" w:rsidRPr="00873F20" w:rsidRDefault="0027223A" w:rsidP="0027223A"/>
    <w:p w14:paraId="326E2AE2" w14:textId="3E1FAAB8" w:rsidR="00D55FEA" w:rsidRPr="00873F20" w:rsidRDefault="002C7CF0" w:rsidP="00825AB9">
      <w:pPr>
        <w:numPr>
          <w:ilvl w:val="0"/>
          <w:numId w:val="13"/>
        </w:numPr>
        <w:ind w:left="0" w:firstLine="0"/>
      </w:pPr>
      <w:r w:rsidRPr="00873F20">
        <w:t xml:space="preserve">En fait, la </w:t>
      </w:r>
      <w:r w:rsidR="00D55FEA" w:rsidRPr="00873F20">
        <w:t>d</w:t>
      </w:r>
      <w:r w:rsidR="00542224" w:rsidRPr="00873F20">
        <w:t xml:space="preserve">éfense </w:t>
      </w:r>
      <w:r w:rsidR="00C20C89" w:rsidRPr="00873F20">
        <w:t>et/</w:t>
      </w:r>
      <w:r w:rsidR="005320B1" w:rsidRPr="00873F20">
        <w:t>ou la libération des É</w:t>
      </w:r>
      <w:r w:rsidR="00D55FEA" w:rsidRPr="00873F20">
        <w:t>tats baltes appelle la mise en place, dans la région, de rotations de forces suffisamment conséquentes, armées et entraînées, de manière à convaincre les Russes que toute agression serait</w:t>
      </w:r>
      <w:r w:rsidR="005320B1" w:rsidRPr="00873F20">
        <w:t xml:space="preserve"> </w:t>
      </w:r>
      <w:r w:rsidR="00542224" w:rsidRPr="00873F20">
        <w:t>assortie d’un prix inacceptable</w:t>
      </w:r>
      <w:r w:rsidR="00D55FEA" w:rsidRPr="00873F20">
        <w:t xml:space="preserve">. </w:t>
      </w:r>
      <w:r w:rsidRPr="00873F20">
        <w:t>Et</w:t>
      </w:r>
      <w:r w:rsidR="00D55FEA" w:rsidRPr="00873F20">
        <w:t xml:space="preserve"> pour persuader les</w:t>
      </w:r>
      <w:r w:rsidR="005320B1" w:rsidRPr="00873F20">
        <w:t xml:space="preserve"> Russes de ne pas attaquer les É</w:t>
      </w:r>
      <w:r w:rsidR="00D55FEA" w:rsidRPr="00873F20">
        <w:t>tats baltes, les membres de l’OTAN devront aussi, en parallèle, marquer leur volonté de défendre ces territoires quel qu’en soit le prix.</w:t>
      </w:r>
    </w:p>
    <w:p w14:paraId="476FEB41" w14:textId="77777777" w:rsidR="0027223A" w:rsidRPr="00873F20" w:rsidRDefault="0027223A" w:rsidP="0027223A"/>
    <w:p w14:paraId="2BA0FD92" w14:textId="3D1663AC" w:rsidR="00D55FEA" w:rsidRPr="00873F20" w:rsidRDefault="00D55FEA" w:rsidP="00825AB9">
      <w:pPr>
        <w:numPr>
          <w:ilvl w:val="0"/>
          <w:numId w:val="14"/>
        </w:numPr>
        <w:ind w:left="0" w:firstLine="0"/>
      </w:pPr>
      <w:r w:rsidRPr="00873F20">
        <w:t>L’équilibrage optimal de la posture à prévoir dans cette perspective reste une question cruciale</w:t>
      </w:r>
      <w:r w:rsidR="006D5065" w:rsidRPr="00873F20">
        <w:t xml:space="preserve"> pour les membres de l’Alliance.</w:t>
      </w:r>
      <w:r w:rsidRPr="00873F20">
        <w:t xml:space="preserve"> De l’</w:t>
      </w:r>
      <w:r w:rsidR="005320B1" w:rsidRPr="00873F20">
        <w:t>avis de nombreux É</w:t>
      </w:r>
      <w:r w:rsidRPr="00873F20">
        <w:t>tats membres,</w:t>
      </w:r>
      <w:r w:rsidR="002C7CF0" w:rsidRPr="00873F20">
        <w:t xml:space="preserve"> des forces de dissuasion</w:t>
      </w:r>
      <w:r w:rsidRPr="00873F20">
        <w:t xml:space="preserve"> </w:t>
      </w:r>
      <w:r w:rsidR="006D5065" w:rsidRPr="00873F20">
        <w:t>crédibles</w:t>
      </w:r>
      <w:r w:rsidR="002C7CF0" w:rsidRPr="00873F20">
        <w:t xml:space="preserve"> doivent être </w:t>
      </w:r>
      <w:r w:rsidRPr="00873F20">
        <w:t>suffisamment visibles, préparées et dynamiques</w:t>
      </w:r>
      <w:r w:rsidR="002C7CF0" w:rsidRPr="00873F20">
        <w:t>,</w:t>
      </w:r>
      <w:r w:rsidRPr="00873F20">
        <w:t xml:space="preserve"> </w:t>
      </w:r>
      <w:r w:rsidR="006D5065" w:rsidRPr="00873F20">
        <w:t>de manière à</w:t>
      </w:r>
      <w:r w:rsidRPr="00873F20">
        <w:t xml:space="preserve"> pouvoir s’adapter rapidement à une large gamme de défis allant de la guerre hybride de faible intensité à une invasion conventionnelle (</w:t>
      </w:r>
      <w:proofErr w:type="spellStart"/>
      <w:r w:rsidRPr="00873F20">
        <w:t>Conley</w:t>
      </w:r>
      <w:proofErr w:type="spellEnd"/>
      <w:r w:rsidRPr="00873F20">
        <w:t xml:space="preserve">, 2016). </w:t>
      </w:r>
      <w:r w:rsidR="006D5065" w:rsidRPr="00873F20">
        <w:t xml:space="preserve">Comme indiqué dans les sections suivantes, plusieurs mesures ont été prises pour </w:t>
      </w:r>
      <w:r w:rsidR="002C7CF0" w:rsidRPr="00873F20">
        <w:t>venir à bout du</w:t>
      </w:r>
      <w:r w:rsidR="006D5065" w:rsidRPr="00873F20">
        <w:t xml:space="preserve"> dilemme sur le flanc </w:t>
      </w:r>
      <w:r w:rsidR="00B75E72">
        <w:t>e</w:t>
      </w:r>
      <w:r w:rsidR="006D5065" w:rsidRPr="00873F20">
        <w:t xml:space="preserve">st. </w:t>
      </w:r>
      <w:r w:rsidRPr="00873F20">
        <w:t xml:space="preserve">Afin de faciliter une transition rapide entre les différents types de confrontations possibles, </w:t>
      </w:r>
      <w:r w:rsidR="006D5065" w:rsidRPr="00873F20">
        <w:t xml:space="preserve">il a été décidé, à l’échelle de l’Alliance, </w:t>
      </w:r>
      <w:r w:rsidRPr="00873F20">
        <w:t>d’investir</w:t>
      </w:r>
      <w:r w:rsidR="005320B1" w:rsidRPr="00873F20">
        <w:t xml:space="preserve"> dans</w:t>
      </w:r>
      <w:r w:rsidRPr="00873F20">
        <w:t xml:space="preserve"> la mise en place d’infrastructures et de troupes </w:t>
      </w:r>
      <w:r w:rsidR="005320B1" w:rsidRPr="00873F20">
        <w:t xml:space="preserve">le long du flanc </w:t>
      </w:r>
      <w:r w:rsidR="00B75E72">
        <w:t>e</w:t>
      </w:r>
      <w:r w:rsidRPr="00873F20">
        <w:t xml:space="preserve">st. </w:t>
      </w:r>
      <w:r w:rsidR="006D5065" w:rsidRPr="00873F20">
        <w:t xml:space="preserve">Les dispositions prises initialement sur une base unilatérale ont été par la suite </w:t>
      </w:r>
      <w:r w:rsidR="004133EC" w:rsidRPr="00873F20">
        <w:t>consacrées</w:t>
      </w:r>
      <w:r w:rsidR="006D5065" w:rsidRPr="00873F20">
        <w:t xml:space="preserve"> par des initiatives décrétées aux sommets du pays de Galles et de Varsovie.</w:t>
      </w:r>
    </w:p>
    <w:p w14:paraId="5A2CA586" w14:textId="77777777" w:rsidR="0027223A" w:rsidRPr="00873F20" w:rsidRDefault="0027223A" w:rsidP="0027223A">
      <w:pPr>
        <w:outlineLvl w:val="1"/>
        <w:rPr>
          <w:i/>
        </w:rPr>
      </w:pPr>
    </w:p>
    <w:p w14:paraId="7DD6FD90" w14:textId="79B80E8F" w:rsidR="00D55FEA" w:rsidRPr="00B75E72" w:rsidRDefault="00D55FEA" w:rsidP="00FC6E48">
      <w:pPr>
        <w:pStyle w:val="Heading2"/>
        <w:keepLines/>
        <w:numPr>
          <w:ilvl w:val="0"/>
          <w:numId w:val="24"/>
        </w:numPr>
        <w:ind w:left="1134" w:hanging="567"/>
      </w:pPr>
      <w:bookmarkStart w:id="9" w:name="_Toc464810716"/>
      <w:r w:rsidRPr="00B75E72">
        <w:t>L’initiative de r</w:t>
      </w:r>
      <w:r w:rsidR="00D859A6" w:rsidRPr="00B75E72">
        <w:t>É</w:t>
      </w:r>
      <w:r w:rsidR="00774831" w:rsidRPr="00B75E72">
        <w:t xml:space="preserve">assurance </w:t>
      </w:r>
      <w:r w:rsidRPr="00B75E72">
        <w:t xml:space="preserve">pour l’Europe </w:t>
      </w:r>
      <w:r w:rsidR="006D5065" w:rsidRPr="00B75E72">
        <w:t>(IRE)</w:t>
      </w:r>
      <w:bookmarkEnd w:id="9"/>
    </w:p>
    <w:p w14:paraId="3BCA6F21" w14:textId="77777777" w:rsidR="0027223A" w:rsidRPr="00873F20" w:rsidRDefault="0027223A" w:rsidP="00FC6E48">
      <w:pPr>
        <w:keepNext/>
        <w:keepLines/>
      </w:pPr>
    </w:p>
    <w:p w14:paraId="60161B87" w14:textId="10023FE1" w:rsidR="00D55FEA" w:rsidRPr="00873F20" w:rsidRDefault="00D55FEA" w:rsidP="00FC6E48">
      <w:pPr>
        <w:keepNext/>
        <w:keepLines/>
        <w:numPr>
          <w:ilvl w:val="0"/>
          <w:numId w:val="15"/>
        </w:numPr>
        <w:ind w:left="0" w:firstLine="0"/>
      </w:pPr>
      <w:r w:rsidRPr="00873F20">
        <w:t>Les États-Unis ont annoncé le lancement de l’Initiative d</w:t>
      </w:r>
      <w:r w:rsidR="005320B1" w:rsidRPr="00873F20">
        <w:t>e réassurance pour l’Europe (</w:t>
      </w:r>
      <w:r w:rsidR="00ED59D3" w:rsidRPr="00873F20">
        <w:t>IRE</w:t>
      </w:r>
      <w:r w:rsidRPr="00873F20">
        <w:t xml:space="preserve">) en juin 2014, à quelques jours seulement de l’ouverture du sommet du pays de Galles. Bien que n’étant pas formellement intégré au RAP, ce projet, qui vise à former une force terrestre multinationale très performante à même de faire face à des crises sur l’ensemble du théâtre européen, doit jouer un rôle de premier plan dans la redynamisation de la défense européenne. Les </w:t>
      </w:r>
      <w:r w:rsidR="005320B1" w:rsidRPr="00873F20">
        <w:t>fonds octroyés à l’</w:t>
      </w:r>
      <w:r w:rsidR="00ED59D3" w:rsidRPr="00873F20">
        <w:t>IRE</w:t>
      </w:r>
      <w:r w:rsidRPr="00873F20">
        <w:t xml:space="preserve"> sont destinés à renforcer la souplesse, la réactivité, la préparation et la capacité des membres de l’OTAN, mais aussi de certains partenaires menacés par la Russie, comme la Géorgie, l’Ukraine et la </w:t>
      </w:r>
      <w:r w:rsidR="005320B1" w:rsidRPr="00873F20">
        <w:t xml:space="preserve">République de </w:t>
      </w:r>
      <w:r w:rsidRPr="00873F20">
        <w:t>Moldova, pour leur permettre de m</w:t>
      </w:r>
      <w:r w:rsidR="005320B1" w:rsidRPr="00873F20">
        <w:t xml:space="preserve">ieux </w:t>
      </w:r>
      <w:r w:rsidRPr="00873F20">
        <w:t xml:space="preserve">se défendre et de fonctionner plus efficacement avec les forces de </w:t>
      </w:r>
      <w:r w:rsidR="005320B1" w:rsidRPr="00873F20">
        <w:t>l’OTAN (</w:t>
      </w:r>
      <w:proofErr w:type="spellStart"/>
      <w:r w:rsidR="005320B1" w:rsidRPr="00873F20">
        <w:t>Brzezinski</w:t>
      </w:r>
      <w:proofErr w:type="spellEnd"/>
      <w:r w:rsidR="005320B1" w:rsidRPr="00873F20">
        <w:t>, 2015). L’</w:t>
      </w:r>
      <w:r w:rsidR="00ED59D3" w:rsidRPr="00873F20">
        <w:t>IRE</w:t>
      </w:r>
      <w:r w:rsidRPr="00873F20">
        <w:t xml:space="preserve"> devrait aussi consolider la dissuasion par la promesse d’une riposte conjointe rapide. Plus généralement, les États-Unis espèrent encourager ainsi leurs Alliés européens au sein de l’OTAN à investir plus dans la défense de leurs territoires et à prendre en charge la gestion des crises ne relevant pas de l’</w:t>
      </w:r>
      <w:r w:rsidR="00A87841" w:rsidRPr="00873F20">
        <w:t>article 5</w:t>
      </w:r>
      <w:r w:rsidR="00542224" w:rsidRPr="00873F20">
        <w:t xml:space="preserve"> qui pourraient s</w:t>
      </w:r>
      <w:r w:rsidR="005320B1" w:rsidRPr="00873F20">
        <w:t>u</w:t>
      </w:r>
      <w:r w:rsidR="00542224" w:rsidRPr="00873F20">
        <w:t>r</w:t>
      </w:r>
      <w:r w:rsidR="005320B1" w:rsidRPr="00873F20">
        <w:t>venir</w:t>
      </w:r>
      <w:r w:rsidRPr="00873F20">
        <w:t xml:space="preserve"> dans leur voisinage (Chollet, </w:t>
      </w:r>
      <w:proofErr w:type="gramStart"/>
      <w:r w:rsidRPr="00873F20">
        <w:t>2015;</w:t>
      </w:r>
      <w:proofErr w:type="gramEnd"/>
      <w:r w:rsidRPr="00873F20">
        <w:t xml:space="preserve"> </w:t>
      </w:r>
      <w:proofErr w:type="spellStart"/>
      <w:r w:rsidRPr="00873F20">
        <w:t>Flockhart</w:t>
      </w:r>
      <w:proofErr w:type="spellEnd"/>
      <w:r w:rsidRPr="00873F20">
        <w:t>, 2015).</w:t>
      </w:r>
    </w:p>
    <w:p w14:paraId="4B2B0261" w14:textId="77777777" w:rsidR="0027223A" w:rsidRPr="00873F20" w:rsidRDefault="0027223A" w:rsidP="0027223A"/>
    <w:p w14:paraId="4C071223" w14:textId="77777777" w:rsidR="00D55FEA" w:rsidRPr="00873F20" w:rsidRDefault="00D55FEA" w:rsidP="00825AB9">
      <w:pPr>
        <w:numPr>
          <w:ilvl w:val="0"/>
          <w:numId w:val="16"/>
        </w:numPr>
        <w:ind w:left="0" w:firstLine="0"/>
      </w:pPr>
      <w:r w:rsidRPr="00873F20">
        <w:t>En février 2016, l’administration Obama soumettait une demande en vue de mu</w:t>
      </w:r>
      <w:r w:rsidR="005320B1" w:rsidRPr="00873F20">
        <w:t>ltiplier par quatre le financement de l’</w:t>
      </w:r>
      <w:r w:rsidR="00ED59D3" w:rsidRPr="00873F20">
        <w:t>IRE</w:t>
      </w:r>
      <w:r w:rsidR="005320B1" w:rsidRPr="00873F20">
        <w:t xml:space="preserve"> pour 2017</w:t>
      </w:r>
      <w:r w:rsidRPr="00873F20">
        <w:t>, portant le budget en q</w:t>
      </w:r>
      <w:r w:rsidR="00542224" w:rsidRPr="00873F20">
        <w:t>uestion de 789,3 millions à 3,4 </w:t>
      </w:r>
      <w:r w:rsidRPr="00873F20">
        <w:t xml:space="preserve">milliards </w:t>
      </w:r>
      <w:r w:rsidR="00542224" w:rsidRPr="00873F20">
        <w:t>de dollars</w:t>
      </w:r>
      <w:r w:rsidRPr="00873F20">
        <w:t>. Cette initiative a été saluée par les Alliés de l’est de l’Eu</w:t>
      </w:r>
      <w:r w:rsidR="00542224" w:rsidRPr="00873F20">
        <w:t>rope, préoccupés jusque-là</w:t>
      </w:r>
      <w:r w:rsidRPr="00873F20">
        <w:t xml:space="preserve"> par</w:t>
      </w:r>
      <w:r w:rsidR="005320B1" w:rsidRPr="00873F20">
        <w:t xml:space="preserve"> le financement de base de l’</w:t>
      </w:r>
      <w:r w:rsidR="00ED59D3" w:rsidRPr="00873F20">
        <w:t>IRE</w:t>
      </w:r>
      <w:r w:rsidRPr="00873F20">
        <w:t xml:space="preserve"> approuvé en 2014, qu’ils jugeaient insuffisant face aux capacités </w:t>
      </w:r>
      <w:r w:rsidR="00542224" w:rsidRPr="00873F20">
        <w:t xml:space="preserve">colossales </w:t>
      </w:r>
      <w:r w:rsidRPr="00873F20">
        <w:t xml:space="preserve">de mobilisation de la Russie sur sa frontière occidentale </w:t>
      </w:r>
      <w:r w:rsidR="00542224" w:rsidRPr="00873F20">
        <w:t>(</w:t>
      </w:r>
      <w:proofErr w:type="spellStart"/>
      <w:r w:rsidR="00542224" w:rsidRPr="00873F20">
        <w:t>Brzezinski</w:t>
      </w:r>
      <w:proofErr w:type="spellEnd"/>
      <w:r w:rsidR="00542224" w:rsidRPr="00873F20">
        <w:t>, </w:t>
      </w:r>
      <w:r w:rsidRPr="00873F20">
        <w:t>2015).</w:t>
      </w:r>
    </w:p>
    <w:p w14:paraId="464FACD2" w14:textId="77777777" w:rsidR="0027223A" w:rsidRPr="00873F20" w:rsidRDefault="0027223A" w:rsidP="0027223A"/>
    <w:p w14:paraId="79A5C189" w14:textId="7BCF486A" w:rsidR="00D55FEA" w:rsidRPr="00873F20" w:rsidRDefault="00D55FEA" w:rsidP="00825AB9">
      <w:pPr>
        <w:numPr>
          <w:ilvl w:val="0"/>
          <w:numId w:val="17"/>
        </w:numPr>
        <w:ind w:left="0" w:firstLine="0"/>
      </w:pPr>
      <w:r w:rsidRPr="00873F20">
        <w:t xml:space="preserve">Ce refinancement se répartit entre le </w:t>
      </w:r>
      <w:r w:rsidRPr="00873F20">
        <w:rPr>
          <w:b/>
        </w:rPr>
        <w:t xml:space="preserve">renforcement des moyens </w:t>
      </w:r>
      <w:proofErr w:type="spellStart"/>
      <w:r w:rsidRPr="00873F20">
        <w:rPr>
          <w:b/>
        </w:rPr>
        <w:t>prépositionnés</w:t>
      </w:r>
      <w:proofErr w:type="spellEnd"/>
      <w:r w:rsidRPr="00873F20">
        <w:t xml:space="preserve"> (1,9 milliard </w:t>
      </w:r>
      <w:r w:rsidR="00542224" w:rsidRPr="00873F20">
        <w:t>de dollars</w:t>
      </w:r>
      <w:r w:rsidRPr="00873F20">
        <w:t xml:space="preserve">), les </w:t>
      </w:r>
      <w:r w:rsidRPr="00873F20">
        <w:rPr>
          <w:b/>
        </w:rPr>
        <w:t>rotations de forces</w:t>
      </w:r>
      <w:r w:rsidRPr="00873F20">
        <w:t xml:space="preserve"> (1,1 milliard </w:t>
      </w:r>
      <w:r w:rsidR="00542224" w:rsidRPr="00873F20">
        <w:t>de dollars</w:t>
      </w:r>
      <w:r w:rsidRPr="00873F20">
        <w:t xml:space="preserve">), les </w:t>
      </w:r>
      <w:r w:rsidRPr="00873F20">
        <w:rPr>
          <w:b/>
        </w:rPr>
        <w:t>améliorations des infrastructures</w:t>
      </w:r>
      <w:r w:rsidRPr="00873F20">
        <w:t xml:space="preserve"> (217,4 millions </w:t>
      </w:r>
      <w:r w:rsidR="006B7C34" w:rsidRPr="00873F20">
        <w:t>de dollars</w:t>
      </w:r>
      <w:r w:rsidRPr="00873F20">
        <w:t xml:space="preserve">), les </w:t>
      </w:r>
      <w:r w:rsidRPr="00873F20">
        <w:rPr>
          <w:b/>
        </w:rPr>
        <w:t>exercices</w:t>
      </w:r>
      <w:r w:rsidRPr="00873F20">
        <w:t xml:space="preserve"> (163,1 millions </w:t>
      </w:r>
      <w:r w:rsidR="006B7C34" w:rsidRPr="00873F20">
        <w:t>de dollars</w:t>
      </w:r>
      <w:r w:rsidRPr="00873F20">
        <w:t xml:space="preserve">) et le </w:t>
      </w:r>
      <w:r w:rsidRPr="00873F20">
        <w:rPr>
          <w:b/>
        </w:rPr>
        <w:t>soutien</w:t>
      </w:r>
      <w:r w:rsidRPr="00873F20">
        <w:t xml:space="preserve"> </w:t>
      </w:r>
      <w:r w:rsidRPr="00873F20">
        <w:rPr>
          <w:b/>
        </w:rPr>
        <w:t>aux</w:t>
      </w:r>
      <w:r w:rsidRPr="00873F20">
        <w:t xml:space="preserve"> </w:t>
      </w:r>
      <w:r w:rsidRPr="00873F20">
        <w:rPr>
          <w:b/>
        </w:rPr>
        <w:t>partenaires</w:t>
      </w:r>
      <w:r w:rsidRPr="00873F20">
        <w:t xml:space="preserve"> (85,5 millions </w:t>
      </w:r>
      <w:r w:rsidR="006B7C34" w:rsidRPr="00873F20">
        <w:t>de dollars</w:t>
      </w:r>
      <w:r w:rsidRPr="00873F20">
        <w:t>) (</w:t>
      </w:r>
      <w:r w:rsidR="006B7C34" w:rsidRPr="00873F20">
        <w:t xml:space="preserve">US </w:t>
      </w:r>
      <w:proofErr w:type="spellStart"/>
      <w:r w:rsidR="006B7C34" w:rsidRPr="00873F20">
        <w:t>DoD</w:t>
      </w:r>
      <w:proofErr w:type="spellEnd"/>
      <w:r w:rsidRPr="00873F20">
        <w:t xml:space="preserve">, 2016). Le renforcement des moyens </w:t>
      </w:r>
      <w:proofErr w:type="spellStart"/>
      <w:r w:rsidRPr="00873F20">
        <w:t>prépositionnés</w:t>
      </w:r>
      <w:proofErr w:type="spellEnd"/>
      <w:r w:rsidRPr="00873F20">
        <w:t xml:space="preserve"> ne représente </w:t>
      </w:r>
      <w:r w:rsidR="005320B1" w:rsidRPr="00873F20">
        <w:t>pas moins de 56 % de l’</w:t>
      </w:r>
      <w:r w:rsidR="00ED59D3" w:rsidRPr="00873F20">
        <w:t>IRE</w:t>
      </w:r>
      <w:r w:rsidRPr="00873F20">
        <w:t xml:space="preserve"> (les crédits alloués initialement à ce poste ayant été multipliés p</w:t>
      </w:r>
      <w:r w:rsidR="009E439C">
        <w:t>ar 32), et la présence assurée par</w:t>
      </w:r>
      <w:r w:rsidRPr="00873F20">
        <w:t xml:space="preserve"> rotation a doublé. Les trois autres catégories ci-dessus verront leur financement multiplié par 1,5 au moins à partir de 2016. La majorité </w:t>
      </w:r>
      <w:r w:rsidR="005320B1" w:rsidRPr="00873F20">
        <w:t>du financement au titre de l’</w:t>
      </w:r>
      <w:r w:rsidR="00ED59D3" w:rsidRPr="00873F20">
        <w:t>IRE</w:t>
      </w:r>
      <w:r w:rsidRPr="00873F20">
        <w:t xml:space="preserve"> va à l’armée de terre des États-Unis.</w:t>
      </w:r>
    </w:p>
    <w:p w14:paraId="66FEAF63" w14:textId="77777777" w:rsidR="0027223A" w:rsidRPr="00873F20" w:rsidRDefault="0027223A" w:rsidP="0027223A"/>
    <w:p w14:paraId="539B444D" w14:textId="01212589" w:rsidR="00D55FEA" w:rsidRPr="00873F20" w:rsidRDefault="00D55FEA" w:rsidP="00825AB9">
      <w:pPr>
        <w:numPr>
          <w:ilvl w:val="0"/>
          <w:numId w:val="18"/>
        </w:numPr>
        <w:ind w:left="0" w:firstLine="0"/>
      </w:pPr>
      <w:r w:rsidRPr="00873F20">
        <w:t>Ci-après</w:t>
      </w:r>
      <w:r w:rsidR="00844C22" w:rsidRPr="00873F20">
        <w:t>,</w:t>
      </w:r>
      <w:r w:rsidRPr="00873F20">
        <w:t xml:space="preserve"> un aperçu des améliorations ainsi apportées et des </w:t>
      </w:r>
      <w:r w:rsidR="005320B1" w:rsidRPr="00873F20">
        <w:t>principaux aspects</w:t>
      </w:r>
      <w:r w:rsidRPr="00873F20">
        <w:t xml:space="preserve"> de chacun de</w:t>
      </w:r>
      <w:r w:rsidR="00844C22" w:rsidRPr="00873F20">
        <w:t xml:space="preserve"> ces postes.</w:t>
      </w:r>
    </w:p>
    <w:p w14:paraId="069827ED" w14:textId="77777777" w:rsidR="0027223A" w:rsidRPr="00873F20" w:rsidRDefault="0027223A" w:rsidP="0027223A">
      <w:pPr>
        <w:pStyle w:val="ListParagraph"/>
        <w:tabs>
          <w:tab w:val="left" w:pos="567"/>
        </w:tabs>
        <w:ind w:left="0"/>
        <w:jc w:val="both"/>
        <w:rPr>
          <w:rFonts w:ascii="Arial" w:hAnsi="Arial" w:cs="Arial"/>
          <w:lang w:val="fr-FR"/>
        </w:rPr>
      </w:pPr>
    </w:p>
    <w:p w14:paraId="16405C6F" w14:textId="05E90B35" w:rsidR="00D55FEA" w:rsidRPr="00873F20" w:rsidRDefault="00844C22" w:rsidP="00825AB9">
      <w:pPr>
        <w:pStyle w:val="ListParagraph"/>
        <w:numPr>
          <w:ilvl w:val="0"/>
          <w:numId w:val="6"/>
        </w:numPr>
        <w:tabs>
          <w:tab w:val="left" w:pos="567"/>
        </w:tabs>
        <w:ind w:left="567" w:hanging="567"/>
        <w:jc w:val="both"/>
        <w:rPr>
          <w:rFonts w:ascii="Arial" w:hAnsi="Arial" w:cs="Arial"/>
          <w:lang w:val="fr-FR"/>
        </w:rPr>
      </w:pPr>
      <w:r w:rsidRPr="00873F20">
        <w:rPr>
          <w:rFonts w:ascii="Arial" w:hAnsi="Arial" w:cs="Arial"/>
          <w:lang w:val="fr-FR"/>
        </w:rPr>
        <w:t>L</w:t>
      </w:r>
      <w:r w:rsidR="00D55FEA" w:rsidRPr="00873F20">
        <w:rPr>
          <w:rFonts w:ascii="Arial" w:hAnsi="Arial" w:cs="Arial"/>
          <w:lang w:val="fr-FR"/>
        </w:rPr>
        <w:t xml:space="preserve">es stocks </w:t>
      </w:r>
      <w:proofErr w:type="spellStart"/>
      <w:r w:rsidR="00D55FEA" w:rsidRPr="00873F20">
        <w:rPr>
          <w:rFonts w:ascii="Arial" w:hAnsi="Arial" w:cs="Arial"/>
          <w:lang w:val="fr-FR"/>
        </w:rPr>
        <w:t>prépositionnés</w:t>
      </w:r>
      <w:proofErr w:type="spellEnd"/>
      <w:r w:rsidR="00D55FEA" w:rsidRPr="00873F20">
        <w:rPr>
          <w:rFonts w:ascii="Arial" w:hAnsi="Arial" w:cs="Arial"/>
          <w:lang w:val="fr-FR"/>
        </w:rPr>
        <w:t xml:space="preserve"> de l’armée de terre des </w:t>
      </w:r>
      <w:r w:rsidR="0027223A" w:rsidRPr="00873F20">
        <w:rPr>
          <w:rFonts w:ascii="Arial" w:hAnsi="Arial" w:cs="Arial"/>
          <w:lang w:val="fr-FR"/>
        </w:rPr>
        <w:t>É</w:t>
      </w:r>
      <w:r w:rsidR="00D55FEA" w:rsidRPr="00873F20">
        <w:rPr>
          <w:rFonts w:ascii="Arial" w:hAnsi="Arial" w:cs="Arial"/>
          <w:lang w:val="fr-FR"/>
        </w:rPr>
        <w:t xml:space="preserve">tats-Unis ont diminué depuis la </w:t>
      </w:r>
      <w:r w:rsidR="00751520" w:rsidRPr="00873F20">
        <w:rPr>
          <w:rFonts w:ascii="Arial" w:hAnsi="Arial" w:cs="Arial"/>
          <w:lang w:val="fr-FR"/>
        </w:rPr>
        <w:t>fin de la g</w:t>
      </w:r>
      <w:r w:rsidR="00D55FEA" w:rsidRPr="00873F20">
        <w:rPr>
          <w:rFonts w:ascii="Arial" w:hAnsi="Arial" w:cs="Arial"/>
          <w:lang w:val="fr-FR"/>
        </w:rPr>
        <w:t xml:space="preserve">uerre froide, ce qui a pour effet indésirable de contrarier un renforcement éventuel des forces </w:t>
      </w:r>
      <w:r w:rsidR="006B7C34" w:rsidRPr="00873F20">
        <w:rPr>
          <w:rFonts w:ascii="Arial" w:hAnsi="Arial" w:cs="Arial"/>
          <w:lang w:val="fr-FR"/>
        </w:rPr>
        <w:t>états-uniennes</w:t>
      </w:r>
      <w:r w:rsidR="00D55FEA" w:rsidRPr="00873F20">
        <w:rPr>
          <w:rFonts w:ascii="Arial" w:hAnsi="Arial" w:cs="Arial"/>
          <w:lang w:val="fr-FR"/>
        </w:rPr>
        <w:t xml:space="preserve"> en cas d’urgence (</w:t>
      </w:r>
      <w:proofErr w:type="spellStart"/>
      <w:r w:rsidR="00D55FEA" w:rsidRPr="00873F20">
        <w:rPr>
          <w:rFonts w:ascii="Arial" w:hAnsi="Arial" w:cs="Arial"/>
          <w:lang w:val="fr-FR"/>
        </w:rPr>
        <w:t>Conley</w:t>
      </w:r>
      <w:proofErr w:type="spellEnd"/>
      <w:r w:rsidR="00D55FEA" w:rsidRPr="00873F20">
        <w:rPr>
          <w:rFonts w:ascii="Arial" w:hAnsi="Arial" w:cs="Arial"/>
          <w:lang w:val="fr-FR"/>
        </w:rPr>
        <w:t xml:space="preserve">, 2016). De l’artillerie lourde, des chars, des véhicules blindés de transport de troupes et des armes d’autres types vont donc être acheminés vers les installations d’entraînement </w:t>
      </w:r>
      <w:r w:rsidR="00F96463">
        <w:rPr>
          <w:rFonts w:ascii="Arial" w:hAnsi="Arial" w:cs="Arial"/>
          <w:lang w:val="fr-FR"/>
        </w:rPr>
        <w:t>existant déjà le long du flanc e</w:t>
      </w:r>
      <w:r w:rsidR="00D55FEA" w:rsidRPr="00873F20">
        <w:rPr>
          <w:rFonts w:ascii="Arial" w:hAnsi="Arial" w:cs="Arial"/>
          <w:lang w:val="fr-FR"/>
        </w:rPr>
        <w:t xml:space="preserve">st, ou qui doivent y être aménagées (Bulgarie, Estonie, Allemagne, Lettonie, Lituanie, Pologne et Roumanie). </w:t>
      </w:r>
      <w:r w:rsidRPr="00873F20">
        <w:rPr>
          <w:rFonts w:ascii="Arial" w:hAnsi="Arial" w:cs="Arial"/>
          <w:lang w:val="fr-FR"/>
        </w:rPr>
        <w:t xml:space="preserve">Des stocks </w:t>
      </w:r>
      <w:proofErr w:type="spellStart"/>
      <w:r w:rsidRPr="00873F20">
        <w:rPr>
          <w:rFonts w:ascii="Arial" w:hAnsi="Arial" w:cs="Arial"/>
          <w:lang w:val="fr-FR"/>
        </w:rPr>
        <w:t>prépositionnés</w:t>
      </w:r>
      <w:proofErr w:type="spellEnd"/>
      <w:r w:rsidRPr="00873F20">
        <w:rPr>
          <w:rFonts w:ascii="Arial" w:hAnsi="Arial" w:cs="Arial"/>
          <w:lang w:val="fr-FR"/>
        </w:rPr>
        <w:t xml:space="preserve"> destinés à une brigade de blindés</w:t>
      </w:r>
      <w:r w:rsidR="004133EC" w:rsidRPr="00873F20">
        <w:rPr>
          <w:rFonts w:ascii="Arial" w:hAnsi="Arial" w:cs="Arial"/>
          <w:lang w:val="fr-FR"/>
        </w:rPr>
        <w:t xml:space="preserve"> supplémentaire</w:t>
      </w:r>
      <w:r w:rsidRPr="00873F20">
        <w:rPr>
          <w:rFonts w:ascii="Arial" w:hAnsi="Arial" w:cs="Arial"/>
          <w:lang w:val="fr-FR"/>
        </w:rPr>
        <w:t>, à une brigade d’artillerie et à un QG de division seront par ailleurs déployés en Allemagne, en Belgique et aux Pays-Bas (</w:t>
      </w:r>
      <w:proofErr w:type="spellStart"/>
      <w:r w:rsidRPr="00873F20">
        <w:rPr>
          <w:rFonts w:ascii="Arial" w:hAnsi="Arial" w:cs="Arial"/>
          <w:lang w:val="fr-FR"/>
        </w:rPr>
        <w:t>Kacprzyk</w:t>
      </w:r>
      <w:proofErr w:type="spellEnd"/>
      <w:r w:rsidRPr="00873F20">
        <w:rPr>
          <w:rFonts w:ascii="Arial" w:hAnsi="Arial" w:cs="Arial"/>
          <w:lang w:val="fr-FR"/>
        </w:rPr>
        <w:t xml:space="preserve">, 2016). </w:t>
      </w:r>
      <w:r w:rsidR="00D55FEA" w:rsidRPr="00873F20">
        <w:rPr>
          <w:rFonts w:ascii="Arial" w:hAnsi="Arial" w:cs="Arial"/>
          <w:lang w:val="fr-FR"/>
        </w:rPr>
        <w:t>Ce relèvement significatif de moyens est en nette rupture avec les initiatives plus</w:t>
      </w:r>
      <w:r w:rsidRPr="00873F20">
        <w:rPr>
          <w:rFonts w:ascii="Arial" w:hAnsi="Arial" w:cs="Arial"/>
          <w:lang w:val="fr-FR"/>
        </w:rPr>
        <w:t xml:space="preserve"> limitées prises dans le passé </w:t>
      </w:r>
      <w:r w:rsidR="00D55FEA" w:rsidRPr="00873F20">
        <w:rPr>
          <w:rFonts w:ascii="Arial" w:hAnsi="Arial" w:cs="Arial"/>
          <w:lang w:val="fr-FR"/>
        </w:rPr>
        <w:t xml:space="preserve">en vue d’augmenter les stocks d’armes, de </w:t>
      </w:r>
      <w:proofErr w:type="spellStart"/>
      <w:r w:rsidR="00D55FEA" w:rsidRPr="00873F20">
        <w:rPr>
          <w:rFonts w:ascii="Arial" w:hAnsi="Arial" w:cs="Arial"/>
          <w:lang w:val="fr-FR"/>
        </w:rPr>
        <w:t>prépositionner</w:t>
      </w:r>
      <w:proofErr w:type="spellEnd"/>
      <w:r w:rsidR="00D55FEA" w:rsidRPr="00873F20">
        <w:rPr>
          <w:rFonts w:ascii="Arial" w:hAnsi="Arial" w:cs="Arial"/>
          <w:lang w:val="fr-FR"/>
        </w:rPr>
        <w:t xml:space="preserve"> du matériel aérien en Europe orientale et de mettre en place les infrastructures indispensables au maintien d’une brigade </w:t>
      </w:r>
      <w:r w:rsidRPr="00873F20">
        <w:rPr>
          <w:rFonts w:ascii="Arial" w:hAnsi="Arial" w:cs="Arial"/>
          <w:lang w:val="fr-FR"/>
        </w:rPr>
        <w:t>blindée.</w:t>
      </w:r>
    </w:p>
    <w:p w14:paraId="3E26BDAE" w14:textId="77777777" w:rsidR="00D55FEA" w:rsidRPr="00873F20" w:rsidRDefault="00D55FEA" w:rsidP="00DF070F">
      <w:pPr>
        <w:pStyle w:val="ListParagraph"/>
        <w:tabs>
          <w:tab w:val="left" w:pos="567"/>
        </w:tabs>
        <w:ind w:left="567" w:hanging="567"/>
        <w:jc w:val="both"/>
        <w:rPr>
          <w:rFonts w:ascii="Arial" w:hAnsi="Arial" w:cs="Arial"/>
          <w:lang w:val="fr-FR"/>
        </w:rPr>
      </w:pPr>
    </w:p>
    <w:p w14:paraId="6F478E41" w14:textId="092FF8B4" w:rsidR="00D55FEA" w:rsidRPr="00873F20" w:rsidRDefault="00844C22" w:rsidP="00825AB9">
      <w:pPr>
        <w:pStyle w:val="ListParagraph"/>
        <w:numPr>
          <w:ilvl w:val="0"/>
          <w:numId w:val="6"/>
        </w:numPr>
        <w:tabs>
          <w:tab w:val="left" w:pos="567"/>
        </w:tabs>
        <w:ind w:left="567" w:hanging="567"/>
        <w:jc w:val="both"/>
        <w:rPr>
          <w:rFonts w:ascii="Arial" w:hAnsi="Arial" w:cs="Arial"/>
          <w:lang w:val="fr-FR"/>
        </w:rPr>
      </w:pPr>
      <w:r w:rsidRPr="00873F20">
        <w:rPr>
          <w:rFonts w:ascii="Arial" w:hAnsi="Arial" w:cs="Arial"/>
          <w:lang w:val="fr-FR"/>
        </w:rPr>
        <w:t>O</w:t>
      </w:r>
      <w:r w:rsidR="00ED59D3" w:rsidRPr="00873F20">
        <w:rPr>
          <w:rFonts w:ascii="Arial" w:hAnsi="Arial" w:cs="Arial"/>
          <w:lang w:val="fr-FR"/>
        </w:rPr>
        <w:t>n va assister, avec l’IRE</w:t>
      </w:r>
      <w:r w:rsidR="00D55FEA" w:rsidRPr="00873F20">
        <w:rPr>
          <w:rFonts w:ascii="Arial" w:hAnsi="Arial" w:cs="Arial"/>
          <w:lang w:val="fr-FR"/>
        </w:rPr>
        <w:t xml:space="preserve"> et le RAP, à un renforcement des déploiements et à une multiplication des exercices de</w:t>
      </w:r>
      <w:r w:rsidR="009E439C">
        <w:rPr>
          <w:rFonts w:ascii="Arial" w:hAnsi="Arial" w:cs="Arial"/>
          <w:lang w:val="fr-FR"/>
        </w:rPr>
        <w:t>s</w:t>
      </w:r>
      <w:r w:rsidR="00D55FEA" w:rsidRPr="00873F20">
        <w:rPr>
          <w:rFonts w:ascii="Arial" w:hAnsi="Arial" w:cs="Arial"/>
          <w:lang w:val="fr-FR"/>
        </w:rPr>
        <w:t xml:space="preserve"> forces </w:t>
      </w:r>
      <w:r w:rsidR="006B7C34" w:rsidRPr="00873F20">
        <w:rPr>
          <w:rFonts w:ascii="Arial" w:hAnsi="Arial" w:cs="Arial"/>
          <w:lang w:val="fr-FR"/>
        </w:rPr>
        <w:t>états-uniennes</w:t>
      </w:r>
      <w:r w:rsidR="00D55FEA" w:rsidRPr="00873F20">
        <w:rPr>
          <w:rFonts w:ascii="Arial" w:hAnsi="Arial" w:cs="Arial"/>
          <w:lang w:val="fr-FR"/>
        </w:rPr>
        <w:t xml:space="preserve"> sur le théâtre européen, tendance que viendra encore accentuer le refinancement annoncé il y a peu. Une </w:t>
      </w:r>
      <w:r w:rsidR="00D55FEA" w:rsidRPr="00873F20">
        <w:rPr>
          <w:rFonts w:ascii="Arial" w:hAnsi="Arial" w:cs="Arial"/>
          <w:b/>
          <w:lang w:val="fr-FR"/>
        </w:rPr>
        <w:t>brigade blindée de combat supplémentaire</w:t>
      </w:r>
      <w:r w:rsidR="00D55FEA" w:rsidRPr="00873F20">
        <w:rPr>
          <w:rFonts w:ascii="Arial" w:hAnsi="Arial" w:cs="Arial"/>
          <w:lang w:val="fr-FR"/>
        </w:rPr>
        <w:t xml:space="preserve"> (ABCT)</w:t>
      </w:r>
      <w:r w:rsidRPr="00873F20">
        <w:rPr>
          <w:rFonts w:ascii="Arial" w:hAnsi="Arial" w:cs="Arial"/>
          <w:lang w:val="fr-FR"/>
        </w:rPr>
        <w:t xml:space="preserve"> ayant son QG en Pologne </w:t>
      </w:r>
      <w:r w:rsidR="00D55FEA" w:rsidRPr="00873F20">
        <w:rPr>
          <w:rFonts w:ascii="Arial" w:hAnsi="Arial" w:cs="Arial"/>
          <w:lang w:val="fr-FR"/>
        </w:rPr>
        <w:t>viendra s’ajouter au cycle des rotations</w:t>
      </w:r>
      <w:r w:rsidRPr="00873F20">
        <w:rPr>
          <w:rFonts w:ascii="Arial" w:hAnsi="Arial" w:cs="Arial"/>
          <w:lang w:val="fr-FR"/>
        </w:rPr>
        <w:t xml:space="preserve"> en 2017</w:t>
      </w:r>
      <w:r w:rsidR="00D55FEA" w:rsidRPr="00873F20">
        <w:rPr>
          <w:rFonts w:ascii="Arial" w:hAnsi="Arial" w:cs="Arial"/>
          <w:lang w:val="fr-FR"/>
        </w:rPr>
        <w:t xml:space="preserve">, portant à trois le nombre d’ABCT </w:t>
      </w:r>
      <w:r w:rsidR="00B75E72">
        <w:rPr>
          <w:rFonts w:ascii="Arial" w:hAnsi="Arial" w:cs="Arial"/>
          <w:lang w:val="fr-FR"/>
        </w:rPr>
        <w:t xml:space="preserve">états-uniennes </w:t>
      </w:r>
      <w:r w:rsidR="00D55FEA" w:rsidRPr="00873F20">
        <w:rPr>
          <w:rFonts w:ascii="Arial" w:hAnsi="Arial" w:cs="Arial"/>
          <w:lang w:val="fr-FR"/>
        </w:rPr>
        <w:t xml:space="preserve">stationnées en Europe à tout moment (techniquement, elles seront au nombre de quatre </w:t>
      </w:r>
      <w:r w:rsidR="00B75E72">
        <w:rPr>
          <w:rFonts w:ascii="Arial" w:hAnsi="Arial" w:cs="Arial"/>
          <w:lang w:val="fr-FR"/>
        </w:rPr>
        <w:t>lors des transitions</w:t>
      </w:r>
      <w:r w:rsidR="00D55FEA" w:rsidRPr="00873F20">
        <w:rPr>
          <w:rFonts w:ascii="Arial" w:hAnsi="Arial" w:cs="Arial"/>
          <w:lang w:val="fr-FR"/>
        </w:rPr>
        <w:t>). Une ABCT standard comprend 4 700 hommes environ. D’après l</w:t>
      </w:r>
      <w:r w:rsidR="00751520" w:rsidRPr="00873F20">
        <w:rPr>
          <w:rFonts w:ascii="Arial" w:hAnsi="Arial" w:cs="Arial"/>
          <w:lang w:val="fr-FR"/>
        </w:rPr>
        <w:t>es chiffres communiqués par le s</w:t>
      </w:r>
      <w:r w:rsidRPr="00873F20">
        <w:rPr>
          <w:rFonts w:ascii="Arial" w:hAnsi="Arial" w:cs="Arial"/>
          <w:lang w:val="fr-FR"/>
        </w:rPr>
        <w:t>ous-secrétaire à la D</w:t>
      </w:r>
      <w:r w:rsidR="00D55FEA" w:rsidRPr="00873F20">
        <w:rPr>
          <w:rFonts w:ascii="Arial" w:hAnsi="Arial" w:cs="Arial"/>
          <w:lang w:val="fr-FR"/>
        </w:rPr>
        <w:t>éfense chargé des que</w:t>
      </w:r>
      <w:r w:rsidR="00B75E72">
        <w:rPr>
          <w:rFonts w:ascii="Arial" w:hAnsi="Arial" w:cs="Arial"/>
          <w:lang w:val="fr-FR"/>
        </w:rPr>
        <w:t>stions financières</w:t>
      </w:r>
      <w:r w:rsidR="00D55FEA" w:rsidRPr="00873F20">
        <w:rPr>
          <w:rFonts w:ascii="Arial" w:hAnsi="Arial" w:cs="Arial"/>
          <w:lang w:val="fr-FR"/>
        </w:rPr>
        <w:t xml:space="preserve">, 507,2 millions </w:t>
      </w:r>
      <w:r w:rsidR="006B7C34" w:rsidRPr="00873F20">
        <w:rPr>
          <w:rFonts w:ascii="Arial" w:hAnsi="Arial" w:cs="Arial"/>
          <w:lang w:val="fr-FR"/>
        </w:rPr>
        <w:t xml:space="preserve">de dollars </w:t>
      </w:r>
      <w:r w:rsidR="00D55FEA" w:rsidRPr="00873F20">
        <w:rPr>
          <w:rFonts w:ascii="Arial" w:hAnsi="Arial" w:cs="Arial"/>
          <w:lang w:val="fr-FR"/>
        </w:rPr>
        <w:t xml:space="preserve">seront consacrés au soutien « des ABCT, avec rotations complètes de forces blindées combinées à des forces légères et des unités de véhicules </w:t>
      </w:r>
      <w:proofErr w:type="spellStart"/>
      <w:r w:rsidR="00D55FEA" w:rsidRPr="00873F20">
        <w:rPr>
          <w:rFonts w:ascii="Arial" w:hAnsi="Arial" w:cs="Arial"/>
          <w:lang w:val="fr-FR"/>
        </w:rPr>
        <w:t>Stryker</w:t>
      </w:r>
      <w:proofErr w:type="spellEnd"/>
      <w:r w:rsidR="00D55FEA" w:rsidRPr="00873F20">
        <w:rPr>
          <w:rFonts w:ascii="Arial" w:hAnsi="Arial" w:cs="Arial"/>
          <w:lang w:val="fr-FR"/>
        </w:rPr>
        <w:t> », de manière à garantir un</w:t>
      </w:r>
      <w:r w:rsidR="00751520" w:rsidRPr="00873F20">
        <w:rPr>
          <w:rFonts w:ascii="Arial" w:hAnsi="Arial" w:cs="Arial"/>
          <w:lang w:val="fr-FR"/>
        </w:rPr>
        <w:t>e présence permanente dans les É</w:t>
      </w:r>
      <w:r w:rsidR="00D55FEA" w:rsidRPr="00873F20">
        <w:rPr>
          <w:rFonts w:ascii="Arial" w:hAnsi="Arial" w:cs="Arial"/>
          <w:lang w:val="fr-FR"/>
        </w:rPr>
        <w:t>tats baltes et en Pologne, et une présence périodique</w:t>
      </w:r>
      <w:r w:rsidR="00751520" w:rsidRPr="00873F20">
        <w:rPr>
          <w:rFonts w:ascii="Arial" w:hAnsi="Arial" w:cs="Arial"/>
          <w:lang w:val="fr-FR"/>
        </w:rPr>
        <w:t xml:space="preserve"> en Roumanie et en Bulgarie (</w:t>
      </w:r>
      <w:r w:rsidR="006B7C34" w:rsidRPr="00873F20">
        <w:rPr>
          <w:rFonts w:ascii="Arial" w:hAnsi="Arial" w:cs="Arial"/>
          <w:lang w:val="fr-FR"/>
        </w:rPr>
        <w:t xml:space="preserve">US </w:t>
      </w:r>
      <w:proofErr w:type="spellStart"/>
      <w:r w:rsidR="006B7C34" w:rsidRPr="00873F20">
        <w:rPr>
          <w:rFonts w:ascii="Arial" w:hAnsi="Arial" w:cs="Arial"/>
          <w:lang w:val="fr-FR"/>
        </w:rPr>
        <w:t>DoD</w:t>
      </w:r>
      <w:proofErr w:type="spellEnd"/>
      <w:r w:rsidRPr="00873F20">
        <w:rPr>
          <w:rFonts w:ascii="Arial" w:hAnsi="Arial" w:cs="Arial"/>
          <w:lang w:val="fr-FR"/>
        </w:rPr>
        <w:t>, 2016).</w:t>
      </w:r>
    </w:p>
    <w:p w14:paraId="27294FD9" w14:textId="77777777" w:rsidR="0027223A" w:rsidRPr="00873F20" w:rsidRDefault="0027223A" w:rsidP="00DF070F">
      <w:pPr>
        <w:ind w:left="567" w:hanging="567"/>
      </w:pPr>
    </w:p>
    <w:p w14:paraId="76E8F199" w14:textId="2B889C0F" w:rsidR="00D55FEA" w:rsidRPr="00873F20" w:rsidRDefault="00844C22" w:rsidP="00825AB9">
      <w:pPr>
        <w:numPr>
          <w:ilvl w:val="0"/>
          <w:numId w:val="6"/>
        </w:numPr>
        <w:ind w:left="567" w:hanging="567"/>
      </w:pPr>
      <w:r w:rsidRPr="00873F20">
        <w:t>L</w:t>
      </w:r>
      <w:r w:rsidR="00D55FEA" w:rsidRPr="00873F20">
        <w:t>es capacités aériennes déployées pa</w:t>
      </w:r>
      <w:r w:rsidR="00751520" w:rsidRPr="00873F20">
        <w:t>r les É</w:t>
      </w:r>
      <w:r w:rsidR="00D55FEA" w:rsidRPr="00873F20">
        <w:t>tats-Unis sur le théâtre continueront d’assurer la mobilité, le ravitaillement en vol et la réponse aux c</w:t>
      </w:r>
      <w:r w:rsidR="00751520" w:rsidRPr="00873F20">
        <w:t xml:space="preserve">rises ; de fournir l’équipement </w:t>
      </w:r>
      <w:r w:rsidR="00D55FEA" w:rsidRPr="00873F20">
        <w:t>et le personnel de soutien indispensables à des déploiements partout en Europe ; et de prendre en charge le transport</w:t>
      </w:r>
      <w:r w:rsidRPr="00873F20">
        <w:t xml:space="preserve"> </w:t>
      </w:r>
      <w:r w:rsidR="00F96463">
        <w:t xml:space="preserve">aérien, </w:t>
      </w:r>
      <w:r w:rsidR="00D55FEA" w:rsidRPr="00873F20">
        <w:t>terrestre et maritime. Les missions de po</w:t>
      </w:r>
      <w:r w:rsidR="00751520" w:rsidRPr="00873F20">
        <w:t xml:space="preserve">lice aérienne </w:t>
      </w:r>
      <w:r w:rsidR="006C7692" w:rsidRPr="00873F20">
        <w:t xml:space="preserve">hors </w:t>
      </w:r>
      <w:r w:rsidR="00751520" w:rsidRPr="00873F20">
        <w:t>É</w:t>
      </w:r>
      <w:r w:rsidR="00D55FEA" w:rsidRPr="00873F20">
        <w:t xml:space="preserve">tats baltes se poursuivront, et les États-Unis renforceront la présence de leurs forces aériennes de combat, notamment en mobilisant des moyens </w:t>
      </w:r>
      <w:r w:rsidR="00B4413F" w:rsidRPr="00873F20">
        <w:t xml:space="preserve">de </w:t>
      </w:r>
      <w:r w:rsidR="009E439C">
        <w:t>5e</w:t>
      </w:r>
      <w:r w:rsidR="00B4413F" w:rsidRPr="00873F20">
        <w:t xml:space="preserve"> génération. La m</w:t>
      </w:r>
      <w:r w:rsidR="00D55FEA" w:rsidRPr="00873F20">
        <w:t xml:space="preserve">arine </w:t>
      </w:r>
      <w:r w:rsidR="00B4413F" w:rsidRPr="00873F20">
        <w:t xml:space="preserve">américaine </w:t>
      </w:r>
      <w:r w:rsidR="00D55FEA" w:rsidRPr="00873F20">
        <w:t xml:space="preserve">poursuivra ses engagements en mer Noire ainsi qu’en Méditerranée et </w:t>
      </w:r>
      <w:r w:rsidR="006C7692" w:rsidRPr="00873F20">
        <w:t>dans la</w:t>
      </w:r>
      <w:r w:rsidR="00D55FEA" w:rsidRPr="00873F20">
        <w:t xml:space="preserve"> Baltique</w:t>
      </w:r>
      <w:r w:rsidR="00751520" w:rsidRPr="00873F20">
        <w:t>,</w:t>
      </w:r>
      <w:r w:rsidR="00D55FEA" w:rsidRPr="00873F20">
        <w:t xml:space="preserve"> et renforcera ses capacités de guerre anti-sous-ma</w:t>
      </w:r>
      <w:r w:rsidR="00751520" w:rsidRPr="00873F20">
        <w:t>rine</w:t>
      </w:r>
      <w:r w:rsidR="00B4413F" w:rsidRPr="00873F20">
        <w:t xml:space="preserve"> sur le théâtre</w:t>
      </w:r>
      <w:r w:rsidR="00751520" w:rsidRPr="00873F20">
        <w:t>. Enfin, la présence de la f</w:t>
      </w:r>
      <w:r w:rsidR="00D55FEA" w:rsidRPr="00873F20">
        <w:t>orce du corps de</w:t>
      </w:r>
      <w:r w:rsidR="00B75E72">
        <w:t>s</w:t>
      </w:r>
      <w:r w:rsidR="00D55FEA" w:rsidRPr="00873F20">
        <w:t xml:space="preserve"> Marines </w:t>
      </w:r>
      <w:r w:rsidR="009E439C">
        <w:t>par</w:t>
      </w:r>
      <w:r w:rsidR="00D55FEA" w:rsidRPr="00873F20">
        <w:t xml:space="preserve"> rotation </w:t>
      </w:r>
      <w:r w:rsidR="00B4413F" w:rsidRPr="00873F20">
        <w:t xml:space="preserve">en mer Noire </w:t>
      </w:r>
      <w:r w:rsidR="00D55FEA" w:rsidRPr="00873F20">
        <w:t>et ses engagements avec d’autres Alliés au départ de bases implantées en Roumanie e</w:t>
      </w:r>
      <w:r w:rsidR="00B4413F" w:rsidRPr="00873F20">
        <w:t>t en Bulgarie seront renforcés.</w:t>
      </w:r>
    </w:p>
    <w:p w14:paraId="61897C82" w14:textId="77777777" w:rsidR="0027223A" w:rsidRPr="00873F20" w:rsidRDefault="0027223A" w:rsidP="00DF070F">
      <w:pPr>
        <w:pStyle w:val="ListParagraph"/>
        <w:tabs>
          <w:tab w:val="left" w:pos="567"/>
        </w:tabs>
        <w:ind w:left="567" w:hanging="567"/>
        <w:jc w:val="both"/>
        <w:rPr>
          <w:rFonts w:ascii="Arial" w:hAnsi="Arial" w:cs="Arial"/>
          <w:lang w:val="fr-FR"/>
        </w:rPr>
      </w:pPr>
    </w:p>
    <w:p w14:paraId="274C7C3E" w14:textId="74C2D15C" w:rsidR="00D22708" w:rsidRPr="00D22708" w:rsidRDefault="00B4413F" w:rsidP="00825AB9">
      <w:pPr>
        <w:pStyle w:val="ListParagraph"/>
        <w:numPr>
          <w:ilvl w:val="0"/>
          <w:numId w:val="6"/>
        </w:numPr>
        <w:tabs>
          <w:tab w:val="left" w:pos="567"/>
        </w:tabs>
        <w:spacing w:after="160"/>
        <w:ind w:left="567" w:hanging="567"/>
        <w:jc w:val="both"/>
        <w:rPr>
          <w:rFonts w:ascii="Arial" w:hAnsi="Arial" w:cs="Arial"/>
          <w:lang w:val="fr-FR"/>
        </w:rPr>
      </w:pPr>
      <w:r w:rsidRPr="00873F20">
        <w:rPr>
          <w:rFonts w:ascii="Arial" w:hAnsi="Arial" w:cs="Arial"/>
          <w:lang w:val="fr-FR"/>
        </w:rPr>
        <w:t>D</w:t>
      </w:r>
      <w:r w:rsidR="00D55FEA" w:rsidRPr="00873F20">
        <w:rPr>
          <w:rFonts w:ascii="Arial" w:hAnsi="Arial" w:cs="Arial"/>
          <w:lang w:val="fr-FR"/>
        </w:rPr>
        <w:t xml:space="preserve">es </w:t>
      </w:r>
      <w:r w:rsidR="00D55FEA" w:rsidRPr="00873F20">
        <w:rPr>
          <w:rFonts w:ascii="Arial" w:hAnsi="Arial" w:cs="Arial"/>
          <w:b/>
          <w:lang w:val="fr-FR"/>
        </w:rPr>
        <w:t>infrastructures améliorées</w:t>
      </w:r>
      <w:r w:rsidR="00D55FEA" w:rsidRPr="00873F20">
        <w:rPr>
          <w:rFonts w:ascii="Arial" w:hAnsi="Arial" w:cs="Arial"/>
          <w:lang w:val="fr-FR"/>
        </w:rPr>
        <w:t xml:space="preserve"> – aérodromes, centres </w:t>
      </w:r>
      <w:r w:rsidR="006C7692" w:rsidRPr="00873F20">
        <w:rPr>
          <w:rFonts w:ascii="Arial" w:hAnsi="Arial" w:cs="Arial"/>
          <w:lang w:val="fr-FR"/>
        </w:rPr>
        <w:t xml:space="preserve">et polygones d’entraînement </w:t>
      </w:r>
      <w:r w:rsidR="00D55FEA" w:rsidRPr="00873F20">
        <w:rPr>
          <w:rFonts w:ascii="Arial" w:hAnsi="Arial" w:cs="Arial"/>
          <w:lang w:val="fr-FR"/>
        </w:rPr>
        <w:t xml:space="preserve">– viendront </w:t>
      </w:r>
      <w:r w:rsidR="006C7692" w:rsidRPr="00873F20">
        <w:rPr>
          <w:rFonts w:ascii="Arial" w:hAnsi="Arial" w:cs="Arial"/>
          <w:lang w:val="fr-FR"/>
        </w:rPr>
        <w:t>améliorer</w:t>
      </w:r>
      <w:r w:rsidR="00D55FEA" w:rsidRPr="00873F20">
        <w:rPr>
          <w:rFonts w:ascii="Arial" w:hAnsi="Arial" w:cs="Arial"/>
          <w:lang w:val="fr-FR"/>
        </w:rPr>
        <w:t xml:space="preserve"> l’état de préparation militaire allié dans l’Europe tout entière. L’initiative de renforcement capacitaire </w:t>
      </w:r>
      <w:r w:rsidR="004133EC" w:rsidRPr="00873F20">
        <w:rPr>
          <w:rFonts w:ascii="Arial" w:hAnsi="Arial" w:cs="Arial"/>
          <w:lang w:val="fr-FR"/>
        </w:rPr>
        <w:t>qui s’adresse aux</w:t>
      </w:r>
      <w:r w:rsidR="00D55FEA" w:rsidRPr="00873F20">
        <w:rPr>
          <w:rFonts w:ascii="Arial" w:hAnsi="Arial" w:cs="Arial"/>
          <w:lang w:val="fr-FR"/>
        </w:rPr>
        <w:t xml:space="preserve"> membres de l’OTAN et </w:t>
      </w:r>
      <w:r w:rsidR="004133EC" w:rsidRPr="00873F20">
        <w:rPr>
          <w:rFonts w:ascii="Arial" w:hAnsi="Arial" w:cs="Arial"/>
          <w:lang w:val="fr-FR"/>
        </w:rPr>
        <w:t xml:space="preserve">à </w:t>
      </w:r>
      <w:r w:rsidR="00D55FEA" w:rsidRPr="00873F20">
        <w:rPr>
          <w:rFonts w:ascii="Arial" w:hAnsi="Arial" w:cs="Arial"/>
          <w:lang w:val="fr-FR"/>
        </w:rPr>
        <w:t xml:space="preserve">ses partenaires non membres (comme la Géorgie, la </w:t>
      </w:r>
      <w:r w:rsidR="00751520" w:rsidRPr="00873F20">
        <w:rPr>
          <w:rFonts w:ascii="Arial" w:hAnsi="Arial" w:cs="Arial"/>
          <w:lang w:val="fr-FR"/>
        </w:rPr>
        <w:t xml:space="preserve">République de </w:t>
      </w:r>
      <w:r w:rsidR="00D55FEA" w:rsidRPr="00873F20">
        <w:rPr>
          <w:rFonts w:ascii="Arial" w:hAnsi="Arial" w:cs="Arial"/>
          <w:lang w:val="fr-FR"/>
        </w:rPr>
        <w:t xml:space="preserve">Moldova et l’Ukraine) devrait </w:t>
      </w:r>
      <w:r w:rsidRPr="00873F20">
        <w:rPr>
          <w:rFonts w:ascii="Arial" w:hAnsi="Arial" w:cs="Arial"/>
          <w:lang w:val="fr-FR"/>
        </w:rPr>
        <w:t xml:space="preserve">permettre de </w:t>
      </w:r>
      <w:r w:rsidR="00D55FEA" w:rsidRPr="00873F20">
        <w:rPr>
          <w:rFonts w:ascii="Arial" w:hAnsi="Arial" w:cs="Arial"/>
          <w:lang w:val="fr-FR"/>
        </w:rPr>
        <w:t xml:space="preserve">consolider les </w:t>
      </w:r>
      <w:r w:rsidRPr="00873F20">
        <w:rPr>
          <w:rFonts w:ascii="Arial" w:hAnsi="Arial" w:cs="Arial"/>
          <w:lang w:val="fr-FR"/>
        </w:rPr>
        <w:t>systèmes de défense de ces p</w:t>
      </w:r>
      <w:r w:rsidR="006C7692" w:rsidRPr="00873F20">
        <w:rPr>
          <w:rFonts w:ascii="Arial" w:hAnsi="Arial" w:cs="Arial"/>
          <w:lang w:val="fr-FR"/>
        </w:rPr>
        <w:t>ays, qui seraient dès lors à mêm</w:t>
      </w:r>
      <w:r w:rsidRPr="00873F20">
        <w:rPr>
          <w:rFonts w:ascii="Arial" w:hAnsi="Arial" w:cs="Arial"/>
          <w:lang w:val="fr-FR"/>
        </w:rPr>
        <w:t xml:space="preserve">e </w:t>
      </w:r>
      <w:r w:rsidR="00D55FEA" w:rsidRPr="00873F20">
        <w:rPr>
          <w:rFonts w:ascii="Arial" w:hAnsi="Arial" w:cs="Arial"/>
          <w:lang w:val="fr-FR"/>
        </w:rPr>
        <w:t>de s’engager en tant que partenaires pl</w:t>
      </w:r>
      <w:r w:rsidR="000751AB" w:rsidRPr="00873F20">
        <w:rPr>
          <w:rFonts w:ascii="Arial" w:hAnsi="Arial" w:cs="Arial"/>
          <w:lang w:val="fr-FR"/>
        </w:rPr>
        <w:t>einement opérationnels. Outre l</w:t>
      </w:r>
      <w:r w:rsidR="00D55FEA" w:rsidRPr="00873F20">
        <w:rPr>
          <w:rFonts w:ascii="Arial" w:hAnsi="Arial" w:cs="Arial"/>
          <w:lang w:val="fr-FR"/>
        </w:rPr>
        <w:t>es capacités conventionnelles, des ressources importantes seront affectées à la cybersécurité – entraînement et engagements, commandement et contrôle (C2) et renseignement. Enfin,</w:t>
      </w:r>
      <w:r w:rsidR="00B75E72">
        <w:rPr>
          <w:rFonts w:ascii="Arial" w:hAnsi="Arial" w:cs="Arial"/>
          <w:lang w:val="fr-FR"/>
        </w:rPr>
        <w:t xml:space="preserve"> à l’enveloppe d</w:t>
      </w:r>
      <w:r w:rsidR="00B75E72" w:rsidRPr="00D22708">
        <w:rPr>
          <w:rFonts w:ascii="Arial" w:hAnsi="Arial" w:cs="Arial"/>
          <w:lang w:val="fr-FR"/>
        </w:rPr>
        <w:t>emandée par le département états-unien de la D</w:t>
      </w:r>
      <w:r w:rsidR="00D55FEA" w:rsidRPr="00D22708">
        <w:rPr>
          <w:rFonts w:ascii="Arial" w:hAnsi="Arial" w:cs="Arial"/>
          <w:lang w:val="fr-FR"/>
        </w:rPr>
        <w:t xml:space="preserve">éfense viendra s’ajouter un montant de 953 millions </w:t>
      </w:r>
      <w:r w:rsidR="006B7C34" w:rsidRPr="00D22708">
        <w:rPr>
          <w:rFonts w:ascii="Arial" w:hAnsi="Arial" w:cs="Arial"/>
          <w:lang w:val="fr-FR"/>
        </w:rPr>
        <w:t xml:space="preserve">de dollars </w:t>
      </w:r>
      <w:r w:rsidR="00D55FEA" w:rsidRPr="00D22708">
        <w:rPr>
          <w:rFonts w:ascii="Arial" w:hAnsi="Arial" w:cs="Arial"/>
          <w:lang w:val="fr-FR"/>
        </w:rPr>
        <w:t xml:space="preserve">au titre d’un « soutien critique » devant aider l’Ukraine et les </w:t>
      </w:r>
      <w:r w:rsidR="009E439C">
        <w:rPr>
          <w:rFonts w:ascii="Arial" w:hAnsi="Arial" w:cs="Arial"/>
          <w:lang w:val="fr-FR"/>
        </w:rPr>
        <w:t>pays d’Europe orientale, d’Asie </w:t>
      </w:r>
      <w:r w:rsidR="00D55FEA" w:rsidRPr="00D22708">
        <w:rPr>
          <w:rFonts w:ascii="Arial" w:hAnsi="Arial" w:cs="Arial"/>
          <w:lang w:val="fr-FR"/>
        </w:rPr>
        <w:t>occidentale et d’Asie centrale à contrer une agression de la Russie.</w:t>
      </w:r>
    </w:p>
    <w:p w14:paraId="6DDCB21E" w14:textId="3093FDC3" w:rsidR="00D55FEA" w:rsidRPr="00873F20" w:rsidRDefault="00D55FEA" w:rsidP="00FC6E48">
      <w:pPr>
        <w:pStyle w:val="Heading2"/>
        <w:keepNext w:val="0"/>
        <w:numPr>
          <w:ilvl w:val="0"/>
          <w:numId w:val="24"/>
        </w:numPr>
        <w:ind w:left="1134" w:hanging="567"/>
      </w:pPr>
      <w:bookmarkStart w:id="10" w:name="_Toc464810717"/>
      <w:r w:rsidRPr="00873F20">
        <w:t>Intensification des exercices OTAN</w:t>
      </w:r>
      <w:bookmarkEnd w:id="10"/>
    </w:p>
    <w:p w14:paraId="46AA256E" w14:textId="77777777" w:rsidR="0027223A" w:rsidRPr="00873F20" w:rsidRDefault="0027223A" w:rsidP="00FC6E48"/>
    <w:p w14:paraId="059913B6" w14:textId="3B304929" w:rsidR="00873F20" w:rsidRDefault="00B4413F" w:rsidP="00FC6E48">
      <w:pPr>
        <w:numPr>
          <w:ilvl w:val="0"/>
          <w:numId w:val="19"/>
        </w:numPr>
        <w:ind w:left="0" w:firstLine="0"/>
      </w:pPr>
      <w:r w:rsidRPr="00873F20">
        <w:t>L</w:t>
      </w:r>
      <w:r w:rsidR="00B75E72">
        <w:t>’OTAN a mené</w:t>
      </w:r>
      <w:r w:rsidRPr="00873F20">
        <w:t xml:space="preserve"> </w:t>
      </w:r>
      <w:r w:rsidR="00D55FEA" w:rsidRPr="00873F20">
        <w:t>280 exercices</w:t>
      </w:r>
      <w:r w:rsidR="00A61C9D" w:rsidRPr="00873F20">
        <w:t xml:space="preserve"> environ</w:t>
      </w:r>
      <w:r w:rsidR="00B75E72">
        <w:t xml:space="preserve"> en 2015</w:t>
      </w:r>
      <w:r w:rsidR="00D55FEA" w:rsidRPr="00873F20">
        <w:t xml:space="preserve">, qui ont porté essentiellement sur la flexibilité et la réaction rapide face à un large spectre de scénarios hypothétiques. Ainsi, </w:t>
      </w:r>
      <w:r w:rsidR="006B7C34" w:rsidRPr="00873F20">
        <w:rPr>
          <w:b/>
          <w:i/>
        </w:rPr>
        <w:t>Trident </w:t>
      </w:r>
      <w:proofErr w:type="spellStart"/>
      <w:r w:rsidR="00D55FEA" w:rsidRPr="00873F20">
        <w:rPr>
          <w:b/>
          <w:i/>
        </w:rPr>
        <w:t>Juncture</w:t>
      </w:r>
      <w:proofErr w:type="spellEnd"/>
      <w:r w:rsidR="00D55FEA" w:rsidRPr="00873F20">
        <w:t>, exercice d’une envergure inégalée depuis plus d’une décenn</w:t>
      </w:r>
      <w:r w:rsidRPr="00873F20">
        <w:t>ie, a réuni pas moins de 36 000 </w:t>
      </w:r>
      <w:r w:rsidR="00D55FEA" w:rsidRPr="00873F20">
        <w:t xml:space="preserve">hommes </w:t>
      </w:r>
      <w:r w:rsidR="009E439C">
        <w:t xml:space="preserve">et femmes </w:t>
      </w:r>
      <w:r w:rsidR="00D55FEA" w:rsidRPr="00873F20">
        <w:t xml:space="preserve">venus </w:t>
      </w:r>
      <w:r w:rsidR="00751520" w:rsidRPr="00873F20">
        <w:t xml:space="preserve">de </w:t>
      </w:r>
      <w:r w:rsidR="00D55FEA" w:rsidRPr="00873F20">
        <w:t>plus de 30 pays différents</w:t>
      </w:r>
      <w:r w:rsidRPr="00873F20">
        <w:t>, lesquels avaient mobilisé 230 </w:t>
      </w:r>
      <w:r w:rsidR="004133EC" w:rsidRPr="00873F20">
        <w:t>unités, 140 </w:t>
      </w:r>
      <w:r w:rsidR="00D55FEA" w:rsidRPr="00873F20">
        <w:t>aéronefs et 60 navires dans le but de mettre à l’épreuve l’aptitude de l’Alliance à déployer, en quelques jours seulement, des forces à niveau élevé de préparation sur l’ensemble de son territoire</w:t>
      </w:r>
      <w:r w:rsidR="00D55FEA" w:rsidRPr="00873F20">
        <w:rPr>
          <w:rStyle w:val="FootnoteReference"/>
        </w:rPr>
        <w:footnoteReference w:id="4"/>
      </w:r>
      <w:r w:rsidR="006B7C34" w:rsidRPr="00873F20">
        <w:t>.</w:t>
      </w:r>
    </w:p>
    <w:p w14:paraId="1DAE221C" w14:textId="77777777" w:rsidR="00873F20" w:rsidRDefault="00873F20" w:rsidP="00FC6E48"/>
    <w:p w14:paraId="47F219E2" w14:textId="4CEF16A2" w:rsidR="00675EEE" w:rsidRDefault="00230D83" w:rsidP="00FC6E48">
      <w:pPr>
        <w:numPr>
          <w:ilvl w:val="0"/>
          <w:numId w:val="19"/>
        </w:numPr>
        <w:ind w:left="0" w:firstLine="0"/>
      </w:pPr>
      <w:r w:rsidRPr="00873F20">
        <w:t>Les exercices continuent de s’enchaîner à un rythme accéléré en 2016. Outre les activités menées sous la direction de l’OTAN auxquel</w:t>
      </w:r>
      <w:r w:rsidR="00B75E72">
        <w:t>le</w:t>
      </w:r>
      <w:r w:rsidRPr="00873F20">
        <w:t xml:space="preserve">s ils sont </w:t>
      </w:r>
      <w:proofErr w:type="gramStart"/>
      <w:r w:rsidRPr="00873F20">
        <w:t>partie</w:t>
      </w:r>
      <w:proofErr w:type="gramEnd"/>
      <w:r w:rsidRPr="00873F20">
        <w:t xml:space="preserve"> prenante, les États-Unis ont décidé de consacrer 163 millions de dollars à un renforcement, en termes de format et de portée, de leur participation régionale aux exercices et actions menées auprès des partenaires. </w:t>
      </w:r>
      <w:r w:rsidR="00A61C9D" w:rsidRPr="00873F20">
        <w:t>Tout</w:t>
      </w:r>
      <w:r w:rsidR="004133EC" w:rsidRPr="00873F20">
        <w:t>e</w:t>
      </w:r>
      <w:r w:rsidR="00A61C9D" w:rsidRPr="00873F20">
        <w:t xml:space="preserve"> une</w:t>
      </w:r>
      <w:r w:rsidRPr="00873F20">
        <w:t xml:space="preserve"> série d’exercices ont été programmés en 2016, de </w:t>
      </w:r>
      <w:r w:rsidRPr="00873F20">
        <w:rPr>
          <w:b/>
          <w:i/>
        </w:rPr>
        <w:t xml:space="preserve">Cold </w:t>
      </w:r>
      <w:proofErr w:type="spellStart"/>
      <w:r w:rsidRPr="00873F20">
        <w:rPr>
          <w:b/>
          <w:i/>
        </w:rPr>
        <w:t>Response</w:t>
      </w:r>
      <w:proofErr w:type="spellEnd"/>
      <w:r w:rsidRPr="00873F20">
        <w:t xml:space="preserve"> dans l’Arctique à </w:t>
      </w:r>
      <w:proofErr w:type="spellStart"/>
      <w:r w:rsidRPr="00873F20">
        <w:rPr>
          <w:b/>
          <w:i/>
        </w:rPr>
        <w:t>Baltops</w:t>
      </w:r>
      <w:proofErr w:type="spellEnd"/>
      <w:r w:rsidRPr="00873F20">
        <w:t xml:space="preserve"> en mer Baltique, en passant par une </w:t>
      </w:r>
      <w:r w:rsidRPr="00873F20">
        <w:rPr>
          <w:b/>
          <w:i/>
        </w:rPr>
        <w:t>simulation de gestion de crise</w:t>
      </w:r>
      <w:r w:rsidRPr="00873F20">
        <w:t xml:space="preserve"> au siège de l’OTAN, à Bruxelles. La sous-commission sur l’avenir de la sécurité et des capacit</w:t>
      </w:r>
      <w:r w:rsidR="00B75E72">
        <w:t xml:space="preserve">és de défense (DSCFC) a </w:t>
      </w:r>
      <w:r w:rsidRPr="00873F20">
        <w:t>envoy</w:t>
      </w:r>
      <w:r w:rsidR="00B75E72">
        <w:t>é, le 12</w:t>
      </w:r>
      <w:r w:rsidR="00F96463">
        <w:t> </w:t>
      </w:r>
      <w:r w:rsidR="00B75E72">
        <w:t>mai,</w:t>
      </w:r>
      <w:r w:rsidRPr="00873F20">
        <w:t xml:space="preserve"> en Esto</w:t>
      </w:r>
      <w:r w:rsidR="00D22708">
        <w:t xml:space="preserve">nie une délégation qui a assisté </w:t>
      </w:r>
      <w:r w:rsidR="00D22708" w:rsidRPr="00873F20">
        <w:t>au</w:t>
      </w:r>
      <w:r w:rsidRPr="00873F20">
        <w:t xml:space="preserve"> lancement de </w:t>
      </w:r>
      <w:proofErr w:type="spellStart"/>
      <w:r w:rsidRPr="00873F20">
        <w:rPr>
          <w:b/>
          <w:i/>
        </w:rPr>
        <w:t>Spring</w:t>
      </w:r>
      <w:proofErr w:type="spellEnd"/>
      <w:r w:rsidRPr="00873F20">
        <w:rPr>
          <w:b/>
          <w:i/>
        </w:rPr>
        <w:t xml:space="preserve"> Storm</w:t>
      </w:r>
      <w:r w:rsidRPr="00873F20">
        <w:t xml:space="preserve">, le plus grand exercice de terrain mené dans la Baltique, auquel </w:t>
      </w:r>
      <w:r w:rsidR="00D22708">
        <w:t>ont participé</w:t>
      </w:r>
      <w:r w:rsidRPr="00873F20">
        <w:t xml:space="preserve"> tous les États de la région ainsi que des forces venues de Pologne, de Belgique, de France, du Royaume-Uni et des États-Unis.</w:t>
      </w:r>
    </w:p>
    <w:p w14:paraId="49E9B310" w14:textId="2898FDB1" w:rsidR="00D22708" w:rsidRPr="00D22708" w:rsidRDefault="00D22708" w:rsidP="00FC6E48"/>
    <w:p w14:paraId="095AAA49" w14:textId="0D1CB345" w:rsidR="0027223A" w:rsidRPr="00873F20" w:rsidRDefault="00230D83" w:rsidP="00FC6E48">
      <w:pPr>
        <w:numPr>
          <w:ilvl w:val="0"/>
          <w:numId w:val="19"/>
        </w:numPr>
        <w:ind w:left="0" w:firstLine="0"/>
      </w:pPr>
      <w:r w:rsidRPr="00873F20">
        <w:t xml:space="preserve">La cadence accélérée ainsi que le format et la portée accrus des exercices ont mis en évidence deux problèmes sur lesquels devront se pencher les décideurs politiques. Tout d’abord, le siège de l’OTAN à Bruxelles a inutilement </w:t>
      </w:r>
      <w:r w:rsidR="00D22708">
        <w:t>rencontré de grosses difficultés</w:t>
      </w:r>
      <w:r w:rsidRPr="00873F20">
        <w:t xml:space="preserve"> à obtenir, auprès des États membres, les autorisations nécessaires pour faire transiter les effectifs et les matériels par leurs territoires (</w:t>
      </w:r>
      <w:proofErr w:type="spellStart"/>
      <w:r w:rsidRPr="00873F20">
        <w:t>Braw</w:t>
      </w:r>
      <w:proofErr w:type="spellEnd"/>
      <w:r w:rsidRPr="00873F20">
        <w:t>, 2016). Deuxièmement, l’organisation d’exercices de grande envergure est une opération coûteuse, et certains États en sont venus à poser la question du partage équitable du fardeau inhérent au nouveau programme. Cette question doit figurer à l’agenda des parlementaires dans chacun des États membres concernés.</w:t>
      </w:r>
    </w:p>
    <w:p w14:paraId="01DA3A58" w14:textId="60332277" w:rsidR="00FF2B9F" w:rsidRPr="00873F20" w:rsidRDefault="00FF2B9F" w:rsidP="00230D83"/>
    <w:p w14:paraId="079236A5" w14:textId="0665BE7F" w:rsidR="00675EEE" w:rsidRDefault="00230D83" w:rsidP="00675EEE">
      <w:pPr>
        <w:pStyle w:val="Heading1"/>
        <w:ind w:left="567" w:hanging="567"/>
      </w:pPr>
      <w:bookmarkStart w:id="11" w:name="_Toc464810718"/>
      <w:r w:rsidRPr="00873F20">
        <w:t>ADAPTATIONS EN VUE DE PROJETER L</w:t>
      </w:r>
      <w:r w:rsidR="009E439C">
        <w:t xml:space="preserve">A STABILITÉ ET DE RENFORCER LA </w:t>
      </w:r>
      <w:r w:rsidRPr="00873F20">
        <w:t xml:space="preserve">PRÉSENCE </w:t>
      </w:r>
      <w:r w:rsidR="009E439C">
        <w:t>AVANC</w:t>
      </w:r>
      <w:r w:rsidR="00322FF5">
        <w:t>É</w:t>
      </w:r>
      <w:r w:rsidR="009E439C">
        <w:t>E</w:t>
      </w:r>
      <w:bookmarkEnd w:id="11"/>
    </w:p>
    <w:p w14:paraId="04E274EA" w14:textId="77777777" w:rsidR="00675EEE" w:rsidRDefault="00675EEE" w:rsidP="00230D83"/>
    <w:p w14:paraId="0DEFD34F" w14:textId="22323C99" w:rsidR="00230D83" w:rsidRPr="00675EEE" w:rsidRDefault="00675EEE" w:rsidP="00230D83">
      <w:pPr>
        <w:rPr>
          <w:b/>
        </w:rPr>
      </w:pPr>
      <w:r>
        <w:t>33.</w:t>
      </w:r>
      <w:r>
        <w:tab/>
      </w:r>
      <w:r w:rsidR="00D22708">
        <w:t>L</w:t>
      </w:r>
      <w:r w:rsidR="00230D83" w:rsidRPr="00873F20">
        <w:t xml:space="preserve">es trois tâches essentielles </w:t>
      </w:r>
      <w:r w:rsidR="00C943CA" w:rsidRPr="00873F20">
        <w:t>de l’OTAN </w:t>
      </w:r>
      <w:r w:rsidR="00D22708">
        <w:t>ont été réaffirmées lors des sommets :</w:t>
      </w:r>
      <w:r w:rsidR="00230D83" w:rsidRPr="00873F20">
        <w:t xml:space="preserve"> défense collective, réponse aux crises et sécurité coopérative. Au pays de Galles, les dirigeants des pays </w:t>
      </w:r>
      <w:r w:rsidR="00FC6E48">
        <w:t>de l’Alliance</w:t>
      </w:r>
      <w:r w:rsidR="00230D83" w:rsidRPr="00873F20">
        <w:t xml:space="preserve"> avaient condamné l’agression russe en Ukraine et mis en place un plan d’action « réactivité » destiné à </w:t>
      </w:r>
      <w:proofErr w:type="spellStart"/>
      <w:r w:rsidR="00230D83" w:rsidRPr="00873F20">
        <w:t>recibler</w:t>
      </w:r>
      <w:proofErr w:type="spellEnd"/>
      <w:r w:rsidR="00230D83" w:rsidRPr="00873F20">
        <w:t xml:space="preserve"> les priorités stratégiques de l’OTAN sur les nouvelles menaces </w:t>
      </w:r>
      <w:r w:rsidR="00F36089" w:rsidRPr="00873F20">
        <w:t>apparues à l’est et au sud. Cette ini</w:t>
      </w:r>
      <w:r w:rsidR="0038588C" w:rsidRPr="00873F20">
        <w:t>ti</w:t>
      </w:r>
      <w:r w:rsidR="00F36089" w:rsidRPr="00873F20">
        <w:t xml:space="preserve">ative s’était essentiellement traduite par une réforme de la </w:t>
      </w:r>
      <w:r w:rsidR="00D22708">
        <w:t>Force de réaction de l'OTAN (</w:t>
      </w:r>
      <w:r w:rsidR="00F36089" w:rsidRPr="00873F20">
        <w:t>NRF</w:t>
      </w:r>
      <w:r w:rsidR="00D22708">
        <w:t>)</w:t>
      </w:r>
      <w:r w:rsidR="00F36089" w:rsidRPr="00873F20">
        <w:t xml:space="preserve"> – désormais dotée d’une « force fer de lance » baptisée « force opérationnelle interarmées à très haut niveau de préparation » (VJTF) –, par un engagement renouvelé </w:t>
      </w:r>
      <w:r w:rsidR="00C943CA" w:rsidRPr="00873F20">
        <w:t>en faveur des</w:t>
      </w:r>
      <w:r w:rsidR="00F36089" w:rsidRPr="00873F20">
        <w:t xml:space="preserve"> forces navales permanentes, et par </w:t>
      </w:r>
      <w:r w:rsidR="00C943CA" w:rsidRPr="00873F20">
        <w:t>l</w:t>
      </w:r>
      <w:r w:rsidR="00F36089" w:rsidRPr="00873F20">
        <w:t>a</w:t>
      </w:r>
      <w:r w:rsidR="00C943CA" w:rsidRPr="00873F20">
        <w:t xml:space="preserve"> </w:t>
      </w:r>
      <w:r w:rsidR="00F36089" w:rsidRPr="00873F20">
        <w:t xml:space="preserve">mobilisation de moyens en faveur de capacités de cybersécurité renforcées. </w:t>
      </w:r>
      <w:r w:rsidR="00C943CA" w:rsidRPr="00873F20">
        <w:t xml:space="preserve">Le sommet de </w:t>
      </w:r>
      <w:r w:rsidR="00F36089" w:rsidRPr="00873F20">
        <w:t xml:space="preserve">Varsovie </w:t>
      </w:r>
      <w:r w:rsidR="00C943CA" w:rsidRPr="00873F20">
        <w:t xml:space="preserve">est venu confirmer </w:t>
      </w:r>
      <w:r w:rsidR="00A61C9D" w:rsidRPr="00873F20">
        <w:t>des</w:t>
      </w:r>
      <w:r w:rsidR="00C943CA" w:rsidRPr="00873F20">
        <w:t xml:space="preserve"> évolutions</w:t>
      </w:r>
      <w:r w:rsidR="00F36089" w:rsidRPr="00873F20">
        <w:t xml:space="preserve"> </w:t>
      </w:r>
      <w:r w:rsidR="00A61C9D" w:rsidRPr="00873F20">
        <w:t xml:space="preserve">plus concrètes </w:t>
      </w:r>
      <w:r w:rsidR="00C943CA" w:rsidRPr="00873F20">
        <w:t>sur les plans de la présence et de l</w:t>
      </w:r>
      <w:r w:rsidR="00F36089" w:rsidRPr="00873F20">
        <w:t>a posture de dissuasion</w:t>
      </w:r>
      <w:r w:rsidR="00C943CA" w:rsidRPr="00873F20">
        <w:t xml:space="preserve"> de l’Alliance, à savoir une </w:t>
      </w:r>
      <w:r w:rsidR="00F36089" w:rsidRPr="00873F20">
        <w:t>NRF robuste et préparée</w:t>
      </w:r>
      <w:r w:rsidR="00C943CA" w:rsidRPr="00873F20">
        <w:t xml:space="preserve"> ; </w:t>
      </w:r>
      <w:r w:rsidR="00F36089" w:rsidRPr="00873F20">
        <w:t>une présence renforcée à l’avant plus substantielle</w:t>
      </w:r>
      <w:r w:rsidR="00C943CA" w:rsidRPr="00873F20">
        <w:t xml:space="preserve"> ; </w:t>
      </w:r>
      <w:r w:rsidR="00D22708">
        <w:t>le fusionnement</w:t>
      </w:r>
      <w:r w:rsidR="00C943CA" w:rsidRPr="00873F20">
        <w:t xml:space="preserve"> de la gestion de crise, de la sécurité coopérative et de la sécurité maritime dans le cadre de la </w:t>
      </w:r>
      <w:r w:rsidR="00C943CA" w:rsidRPr="00873F20">
        <w:rPr>
          <w:i/>
        </w:rPr>
        <w:t>« projection de la stabilité » </w:t>
      </w:r>
      <w:r w:rsidR="00C943CA" w:rsidRPr="00873F20">
        <w:t>; et enfin, une capacité d'anticipation stratégique renforcée par une meilleure</w:t>
      </w:r>
      <w:r w:rsidR="00A61C9D" w:rsidRPr="00873F20">
        <w:t xml:space="preserve"> connaissance de la situation. L</w:t>
      </w:r>
      <w:r w:rsidR="00C943CA" w:rsidRPr="00873F20">
        <w:t xml:space="preserve">es différentes adaptations de l’Alliance adoptées à la faveur des </w:t>
      </w:r>
      <w:r w:rsidR="00A61C9D" w:rsidRPr="00873F20">
        <w:t xml:space="preserve">deux </w:t>
      </w:r>
      <w:r w:rsidR="00C943CA" w:rsidRPr="00873F20">
        <w:t>sommets sont explicitées ci-après.</w:t>
      </w:r>
    </w:p>
    <w:p w14:paraId="4AB3A636" w14:textId="77777777" w:rsidR="00230D83" w:rsidRPr="00873F20" w:rsidRDefault="00230D83" w:rsidP="00230D83"/>
    <w:p w14:paraId="76436FE2" w14:textId="77777777" w:rsidR="00D55FEA" w:rsidRPr="00873F20" w:rsidRDefault="00D859A6" w:rsidP="00825AB9">
      <w:pPr>
        <w:pStyle w:val="Heading2"/>
        <w:numPr>
          <w:ilvl w:val="0"/>
          <w:numId w:val="5"/>
        </w:numPr>
        <w:tabs>
          <w:tab w:val="clear" w:pos="567"/>
          <w:tab w:val="num" w:pos="1134"/>
        </w:tabs>
        <w:ind w:left="1134"/>
      </w:pPr>
      <w:bookmarkStart w:id="12" w:name="_Toc464810719"/>
      <w:r w:rsidRPr="00873F20">
        <w:t>É</w:t>
      </w:r>
      <w:r w:rsidR="006B7C34" w:rsidRPr="00873F20">
        <w:t xml:space="preserve">Tat de </w:t>
      </w:r>
      <w:r w:rsidR="00D55FEA" w:rsidRPr="00873F20">
        <w:t>Pr</w:t>
      </w:r>
      <w:r w:rsidRPr="00873F20">
        <w:t>É</w:t>
      </w:r>
      <w:r w:rsidR="00D55FEA" w:rsidRPr="00873F20">
        <w:t>paration des forces de l’OTAN</w:t>
      </w:r>
      <w:bookmarkEnd w:id="12"/>
    </w:p>
    <w:p w14:paraId="1428283E" w14:textId="77777777" w:rsidR="0027223A" w:rsidRPr="00675EEE" w:rsidRDefault="0027223A" w:rsidP="0027223A"/>
    <w:p w14:paraId="706446BE" w14:textId="7601A0E2" w:rsidR="00873F20" w:rsidRPr="00675EEE" w:rsidRDefault="00D55FEA" w:rsidP="00825AB9">
      <w:pPr>
        <w:pStyle w:val="ListParagraph"/>
        <w:numPr>
          <w:ilvl w:val="0"/>
          <w:numId w:val="25"/>
        </w:numPr>
        <w:tabs>
          <w:tab w:val="left" w:pos="567"/>
        </w:tabs>
        <w:ind w:left="0" w:firstLine="0"/>
        <w:jc w:val="both"/>
        <w:rPr>
          <w:lang w:val="fr-FR"/>
        </w:rPr>
      </w:pPr>
      <w:r w:rsidRPr="00675EEE">
        <w:rPr>
          <w:rFonts w:ascii="Arial" w:hAnsi="Arial" w:cs="Arial"/>
          <w:lang w:val="fr-FR"/>
        </w:rPr>
        <w:t>Le sommet du pays de Galles a débouché sur l’adoption d’une série de mesures devant permettre à l’OTAN de s’appuyer sur des forces modernes, robustes</w:t>
      </w:r>
      <w:r w:rsidR="00D22708" w:rsidRPr="00675EEE">
        <w:rPr>
          <w:rFonts w:ascii="Arial" w:hAnsi="Arial" w:cs="Arial"/>
          <w:lang w:val="fr-FR"/>
        </w:rPr>
        <w:t>,</w:t>
      </w:r>
      <w:r w:rsidRPr="00675EEE">
        <w:rPr>
          <w:rFonts w:ascii="Arial" w:hAnsi="Arial" w:cs="Arial"/>
          <w:lang w:val="fr-FR"/>
        </w:rPr>
        <w:t xml:space="preserve"> performante</w:t>
      </w:r>
      <w:r w:rsidR="00A61C9D" w:rsidRPr="00675EEE">
        <w:rPr>
          <w:rFonts w:ascii="Arial" w:hAnsi="Arial" w:cs="Arial"/>
          <w:lang w:val="fr-FR"/>
        </w:rPr>
        <w:t xml:space="preserve">s et maintenues </w:t>
      </w:r>
      <w:r w:rsidR="006B7C34" w:rsidRPr="00675EEE">
        <w:rPr>
          <w:rFonts w:ascii="Arial" w:hAnsi="Arial" w:cs="Arial"/>
          <w:lang w:val="fr-FR"/>
        </w:rPr>
        <w:t xml:space="preserve">à </w:t>
      </w:r>
      <w:r w:rsidR="009E439C">
        <w:rPr>
          <w:rFonts w:ascii="Arial" w:hAnsi="Arial" w:cs="Arial"/>
          <w:lang w:val="fr-FR"/>
        </w:rPr>
        <w:t>haut</w:t>
      </w:r>
      <w:r w:rsidR="00A61C9D" w:rsidRPr="00675EEE">
        <w:rPr>
          <w:rFonts w:ascii="Arial" w:hAnsi="Arial" w:cs="Arial"/>
          <w:lang w:val="fr-FR"/>
        </w:rPr>
        <w:t xml:space="preserve"> </w:t>
      </w:r>
      <w:r w:rsidR="006B7C34" w:rsidRPr="00675EEE">
        <w:rPr>
          <w:rFonts w:ascii="Arial" w:hAnsi="Arial" w:cs="Arial"/>
          <w:lang w:val="fr-FR"/>
        </w:rPr>
        <w:t>niveau de préparation</w:t>
      </w:r>
      <w:r w:rsidRPr="00675EEE">
        <w:rPr>
          <w:rFonts w:ascii="Arial" w:hAnsi="Arial" w:cs="Arial"/>
          <w:lang w:val="fr-FR"/>
        </w:rPr>
        <w:t xml:space="preserve"> </w:t>
      </w:r>
      <w:r w:rsidRPr="009E439C">
        <w:rPr>
          <w:rFonts w:ascii="Arial" w:hAnsi="Arial" w:cs="Arial"/>
          <w:lang w:val="fr-FR"/>
        </w:rPr>
        <w:t>dans</w:t>
      </w:r>
      <w:r w:rsidRPr="00675EEE">
        <w:rPr>
          <w:lang w:val="fr-FR"/>
        </w:rPr>
        <w:t xml:space="preserve"> </w:t>
      </w:r>
      <w:r w:rsidRPr="00F96463">
        <w:rPr>
          <w:rFonts w:ascii="Arial" w:hAnsi="Arial" w:cs="Arial"/>
          <w:lang w:val="fr-FR"/>
        </w:rPr>
        <w:t>les airs, à terre et en mer.</w:t>
      </w:r>
    </w:p>
    <w:p w14:paraId="085D6C48" w14:textId="77777777" w:rsidR="00873F20" w:rsidRDefault="00873F20" w:rsidP="00675EEE"/>
    <w:p w14:paraId="264F3F77" w14:textId="198CD17C" w:rsidR="00873F20"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 xml:space="preserve">Créée en 2003, la </w:t>
      </w:r>
      <w:r w:rsidRPr="00675EEE">
        <w:rPr>
          <w:rFonts w:ascii="Arial" w:hAnsi="Arial" w:cs="Arial"/>
          <w:b/>
          <w:lang w:val="fr-FR"/>
        </w:rPr>
        <w:t xml:space="preserve">Force de réaction de l’OTAN </w:t>
      </w:r>
      <w:r w:rsidR="004320FC" w:rsidRPr="00675EEE">
        <w:rPr>
          <w:rFonts w:ascii="Arial" w:hAnsi="Arial" w:cs="Arial"/>
          <w:b/>
          <w:lang w:val="fr-FR"/>
        </w:rPr>
        <w:t xml:space="preserve">(NRF) </w:t>
      </w:r>
      <w:r w:rsidRPr="00675EEE">
        <w:rPr>
          <w:rFonts w:ascii="Arial" w:hAnsi="Arial" w:cs="Arial"/>
          <w:lang w:val="fr-FR"/>
        </w:rPr>
        <w:t xml:space="preserve">est une force multinationale à </w:t>
      </w:r>
      <w:r w:rsidR="009E439C">
        <w:rPr>
          <w:rFonts w:ascii="Arial" w:hAnsi="Arial" w:cs="Arial"/>
          <w:lang w:val="fr-FR"/>
        </w:rPr>
        <w:t xml:space="preserve">haut </w:t>
      </w:r>
      <w:r w:rsidRPr="00675EEE">
        <w:rPr>
          <w:rFonts w:ascii="Arial" w:hAnsi="Arial" w:cs="Arial"/>
          <w:lang w:val="fr-FR"/>
        </w:rPr>
        <w:t>niveau de préparation capable de réagir à toute la gamme des défis de sécurité</w:t>
      </w:r>
      <w:r w:rsidR="00D22708" w:rsidRPr="00675EEE">
        <w:rPr>
          <w:rFonts w:ascii="Arial" w:hAnsi="Arial" w:cs="Arial"/>
          <w:lang w:val="fr-FR"/>
        </w:rPr>
        <w:t>, allant</w:t>
      </w:r>
      <w:r w:rsidRPr="00675EEE">
        <w:rPr>
          <w:rFonts w:ascii="Arial" w:hAnsi="Arial" w:cs="Arial"/>
          <w:lang w:val="fr-FR"/>
        </w:rPr>
        <w:t xml:space="preserve"> de la gestion de crise à la défense collective. </w:t>
      </w:r>
      <w:r w:rsidRPr="00963572">
        <w:rPr>
          <w:rFonts w:ascii="Arial" w:hAnsi="Arial" w:cs="Arial"/>
          <w:lang w:val="fr-FR"/>
        </w:rPr>
        <w:t xml:space="preserve">Au pays de Galles, les Alliés sont convenus de renforcer les capacités de la NRF ainsi que son effectif, qui est passé de 5 000 à 40 000 hommes. Des forces aériennes, terrestres et navales ainsi que des forces spéciales et des logisticiens de toute l’Alliance ont été placés à un niveau de préparation élevé de manière à pouvoir soutenir la NRF. La rotation 2016 de la NRF aura pour QG principal le Commandement </w:t>
      </w:r>
      <w:r w:rsidR="00D22708" w:rsidRPr="00963572">
        <w:rPr>
          <w:rFonts w:ascii="Arial" w:hAnsi="Arial" w:cs="Arial"/>
          <w:lang w:val="fr-FR"/>
        </w:rPr>
        <w:t xml:space="preserve">allié </w:t>
      </w:r>
      <w:r w:rsidRPr="00963572">
        <w:rPr>
          <w:rFonts w:ascii="Arial" w:hAnsi="Arial" w:cs="Arial"/>
          <w:lang w:val="fr-FR"/>
        </w:rPr>
        <w:t xml:space="preserve">de forces interarmées de </w:t>
      </w:r>
      <w:proofErr w:type="spellStart"/>
      <w:r w:rsidRPr="00963572">
        <w:rPr>
          <w:rFonts w:ascii="Arial" w:hAnsi="Arial" w:cs="Arial"/>
          <w:lang w:val="fr-FR"/>
        </w:rPr>
        <w:t>Brunssum</w:t>
      </w:r>
      <w:proofErr w:type="spellEnd"/>
      <w:r w:rsidRPr="00963572">
        <w:rPr>
          <w:rFonts w:ascii="Arial" w:hAnsi="Arial" w:cs="Arial"/>
          <w:lang w:val="fr-FR"/>
        </w:rPr>
        <w:t>, aux Pays-Bas. D’autres éléments clés pour les C2</w:t>
      </w:r>
      <w:r w:rsidR="00ED59D3" w:rsidRPr="00963572">
        <w:rPr>
          <w:rFonts w:ascii="Arial" w:hAnsi="Arial" w:cs="Arial"/>
          <w:lang w:val="fr-FR"/>
        </w:rPr>
        <w:t xml:space="preserve"> seront fournis par différents </w:t>
      </w:r>
      <w:r w:rsidRPr="00963572">
        <w:rPr>
          <w:rFonts w:ascii="Arial" w:hAnsi="Arial" w:cs="Arial"/>
          <w:lang w:val="fr-FR"/>
        </w:rPr>
        <w:t>Alliés. Ainsi, le c</w:t>
      </w:r>
      <w:r w:rsidR="00D22708" w:rsidRPr="00963572">
        <w:rPr>
          <w:rFonts w:ascii="Arial" w:hAnsi="Arial" w:cs="Arial"/>
          <w:lang w:val="fr-FR"/>
        </w:rPr>
        <w:t xml:space="preserve">orps de déploiement rapide </w:t>
      </w:r>
      <w:r w:rsidRPr="00963572">
        <w:rPr>
          <w:rFonts w:ascii="Arial" w:hAnsi="Arial" w:cs="Arial"/>
          <w:lang w:val="fr-FR"/>
        </w:rPr>
        <w:t>OTAN-Espagne sera chargé du domaine « terre ». La Force maritime du Royaume-Uni et le Commandement de composante aérienne des forces interarmées italiennes seront responsables des domaines « mer » et « air » respectivement. Enfin, les opérations spéciales seront prises en charge par les États-Unis au travers de leur Commandement des opérations spéciales-Europe, tandis que la Pologne commandera l</w:t>
      </w:r>
      <w:r w:rsidR="00036779" w:rsidRPr="00963572">
        <w:rPr>
          <w:rFonts w:ascii="Arial" w:hAnsi="Arial" w:cs="Arial"/>
          <w:lang w:val="fr-FR"/>
        </w:rPr>
        <w:t>e bataillon de défense de la</w:t>
      </w:r>
      <w:r w:rsidRPr="00963572">
        <w:rPr>
          <w:rFonts w:ascii="Arial" w:hAnsi="Arial" w:cs="Arial"/>
          <w:lang w:val="fr-FR"/>
        </w:rPr>
        <w:t xml:space="preserve"> force </w:t>
      </w:r>
      <w:r w:rsidR="004C19D1" w:rsidRPr="00963572">
        <w:rPr>
          <w:rFonts w:ascii="Arial" w:hAnsi="Arial" w:cs="Arial"/>
          <w:lang w:val="fr-FR"/>
        </w:rPr>
        <w:t xml:space="preserve">opérationnelle </w:t>
      </w:r>
      <w:r w:rsidRPr="00963572">
        <w:rPr>
          <w:rFonts w:ascii="Arial" w:hAnsi="Arial" w:cs="Arial"/>
          <w:lang w:val="fr-FR"/>
        </w:rPr>
        <w:t>multinationale de défense </w:t>
      </w:r>
      <w:r w:rsidR="004C19D1" w:rsidRPr="00963572">
        <w:rPr>
          <w:rFonts w:ascii="Arial" w:hAnsi="Arial" w:cs="Arial"/>
          <w:lang w:val="fr-FR"/>
        </w:rPr>
        <w:t>chimique, biologique, radiologique et nucléaire (CBRN)</w:t>
      </w:r>
      <w:r w:rsidRPr="00963572">
        <w:rPr>
          <w:rFonts w:ascii="Arial" w:hAnsi="Arial" w:cs="Arial"/>
          <w:lang w:val="fr-FR"/>
        </w:rPr>
        <w:t>.</w:t>
      </w:r>
    </w:p>
    <w:p w14:paraId="4F4C7CA2" w14:textId="77777777" w:rsidR="00873F20" w:rsidRPr="00675EEE" w:rsidRDefault="00873F20" w:rsidP="00675EEE"/>
    <w:p w14:paraId="30B6F147" w14:textId="17B79CCC" w:rsidR="0027223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 xml:space="preserve">Créée lors du sommet du pays de Galles, la </w:t>
      </w:r>
      <w:r w:rsidRPr="00675EEE">
        <w:rPr>
          <w:rFonts w:ascii="Arial" w:hAnsi="Arial" w:cs="Arial"/>
          <w:b/>
          <w:lang w:val="fr-FR"/>
        </w:rPr>
        <w:t>force opérationnelle interarmées à très haut niveau de préparation</w:t>
      </w:r>
      <w:r w:rsidRPr="00675EEE">
        <w:rPr>
          <w:rFonts w:ascii="Arial" w:hAnsi="Arial" w:cs="Arial"/>
          <w:lang w:val="fr-FR"/>
        </w:rPr>
        <w:t xml:space="preserve"> (VJTF), dite également « force fer de lance », est une brigade multinationale pouvant comporter jusqu’à 5 bataillons de manœuvre appuyés par des unités aériennes, maritimes et de forces spéciales. </w:t>
      </w:r>
      <w:r w:rsidRPr="00963572">
        <w:rPr>
          <w:rFonts w:ascii="Arial" w:hAnsi="Arial" w:cs="Arial"/>
          <w:lang w:val="fr-FR"/>
        </w:rPr>
        <w:t>Elle s’appuie sur un effectif de 20 000 hommes</w:t>
      </w:r>
      <w:r w:rsidR="00D22708" w:rsidRPr="00963572">
        <w:rPr>
          <w:rFonts w:ascii="Arial" w:hAnsi="Arial" w:cs="Arial"/>
          <w:lang w:val="fr-FR"/>
        </w:rPr>
        <w:t xml:space="preserve"> et femmes</w:t>
      </w:r>
      <w:r w:rsidRPr="00963572">
        <w:rPr>
          <w:rFonts w:ascii="Arial" w:hAnsi="Arial" w:cs="Arial"/>
          <w:lang w:val="fr-FR"/>
        </w:rPr>
        <w:t xml:space="preserve">, dont 5 000 </w:t>
      </w:r>
      <w:r w:rsidR="00D22708" w:rsidRPr="00963572">
        <w:rPr>
          <w:rFonts w:ascii="Arial" w:hAnsi="Arial" w:cs="Arial"/>
          <w:lang w:val="fr-FR"/>
        </w:rPr>
        <w:t>au sol</w:t>
      </w:r>
      <w:r w:rsidRPr="00963572">
        <w:rPr>
          <w:rFonts w:ascii="Arial" w:hAnsi="Arial" w:cs="Arial"/>
          <w:lang w:val="fr-FR"/>
        </w:rPr>
        <w:t>. La VJTF a participé à l’exerc</w:t>
      </w:r>
      <w:r w:rsidR="006B7C34" w:rsidRPr="00963572">
        <w:rPr>
          <w:rFonts w:ascii="Arial" w:hAnsi="Arial" w:cs="Arial"/>
          <w:lang w:val="fr-FR"/>
        </w:rPr>
        <w:t xml:space="preserve">ice de grande envergure </w:t>
      </w:r>
      <w:r w:rsidR="006B7C34" w:rsidRPr="00963572">
        <w:rPr>
          <w:rFonts w:ascii="Arial" w:hAnsi="Arial" w:cs="Arial"/>
          <w:i/>
          <w:lang w:val="fr-FR"/>
        </w:rPr>
        <w:t>Trident </w:t>
      </w:r>
      <w:proofErr w:type="spellStart"/>
      <w:r w:rsidRPr="00963572">
        <w:rPr>
          <w:rFonts w:ascii="Arial" w:hAnsi="Arial" w:cs="Arial"/>
          <w:i/>
          <w:lang w:val="fr-FR"/>
        </w:rPr>
        <w:t>Juncture</w:t>
      </w:r>
      <w:proofErr w:type="spellEnd"/>
      <w:r w:rsidRPr="00963572">
        <w:rPr>
          <w:rFonts w:ascii="Arial" w:hAnsi="Arial" w:cs="Arial"/>
          <w:lang w:val="fr-FR"/>
        </w:rPr>
        <w:t xml:space="preserve">, démontrant ainsi que des forces multinationales à haut niveau de préparation peuvent être déployées en quelques jours seulement. Le processus de développement et de renforcement de la VJTF se poursuivra tout au long de l’année 2016, au travers d’autres exercices comme </w:t>
      </w:r>
      <w:proofErr w:type="spellStart"/>
      <w:r w:rsidRPr="00963572">
        <w:rPr>
          <w:rFonts w:ascii="Arial" w:hAnsi="Arial" w:cs="Arial"/>
          <w:i/>
          <w:lang w:val="fr-FR"/>
        </w:rPr>
        <w:t>Brilliant</w:t>
      </w:r>
      <w:proofErr w:type="spellEnd"/>
      <w:r w:rsidRPr="00963572">
        <w:rPr>
          <w:rFonts w:ascii="Arial" w:hAnsi="Arial" w:cs="Arial"/>
          <w:i/>
          <w:lang w:val="fr-FR"/>
        </w:rPr>
        <w:t xml:space="preserve"> Jump</w:t>
      </w:r>
      <w:r w:rsidRPr="00963572">
        <w:rPr>
          <w:rFonts w:ascii="Arial" w:hAnsi="Arial" w:cs="Arial"/>
          <w:lang w:val="fr-FR"/>
        </w:rPr>
        <w:t xml:space="preserve">, </w:t>
      </w:r>
      <w:r w:rsidRPr="00963572">
        <w:rPr>
          <w:rFonts w:ascii="Arial" w:hAnsi="Arial" w:cs="Arial"/>
          <w:i/>
          <w:lang w:val="fr-FR"/>
        </w:rPr>
        <w:t xml:space="preserve">Trident </w:t>
      </w:r>
      <w:proofErr w:type="spellStart"/>
      <w:r w:rsidRPr="00963572">
        <w:rPr>
          <w:rFonts w:ascii="Arial" w:hAnsi="Arial" w:cs="Arial"/>
          <w:i/>
          <w:lang w:val="fr-FR"/>
        </w:rPr>
        <w:t>Joust</w:t>
      </w:r>
      <w:proofErr w:type="spellEnd"/>
      <w:r w:rsidRPr="00963572">
        <w:rPr>
          <w:rFonts w:ascii="Arial" w:hAnsi="Arial" w:cs="Arial"/>
          <w:lang w:val="fr-FR"/>
        </w:rPr>
        <w:t xml:space="preserve"> et </w:t>
      </w:r>
      <w:proofErr w:type="spellStart"/>
      <w:r w:rsidRPr="00963572">
        <w:rPr>
          <w:rFonts w:ascii="Arial" w:hAnsi="Arial" w:cs="Arial"/>
          <w:i/>
          <w:lang w:val="fr-FR"/>
        </w:rPr>
        <w:t>Brilliant</w:t>
      </w:r>
      <w:proofErr w:type="spellEnd"/>
      <w:r w:rsidRPr="00963572">
        <w:rPr>
          <w:rFonts w:ascii="Arial" w:hAnsi="Arial" w:cs="Arial"/>
          <w:i/>
          <w:lang w:val="fr-FR"/>
        </w:rPr>
        <w:t xml:space="preserve"> </w:t>
      </w:r>
      <w:proofErr w:type="spellStart"/>
      <w:r w:rsidRPr="00963572">
        <w:rPr>
          <w:rFonts w:ascii="Arial" w:hAnsi="Arial" w:cs="Arial"/>
          <w:i/>
          <w:lang w:val="fr-FR"/>
        </w:rPr>
        <w:t>Capability</w:t>
      </w:r>
      <w:proofErr w:type="spellEnd"/>
      <w:r w:rsidRPr="00963572">
        <w:rPr>
          <w:rFonts w:ascii="Arial" w:hAnsi="Arial" w:cs="Arial"/>
          <w:lang w:val="fr-FR"/>
        </w:rPr>
        <w:t>. C’est l’Espagne qui, en 2016, se trouve à la tête de la VJTF. La France, l’Allemagne, l’Italie, la Po</w:t>
      </w:r>
      <w:r w:rsidR="00734789" w:rsidRPr="00963572">
        <w:rPr>
          <w:rFonts w:ascii="Arial" w:hAnsi="Arial" w:cs="Arial"/>
          <w:lang w:val="fr-FR"/>
        </w:rPr>
        <w:t>logne, la Turquie et le Royaume</w:t>
      </w:r>
      <w:r w:rsidR="00734789" w:rsidRPr="00963572">
        <w:rPr>
          <w:rFonts w:ascii="Arial" w:hAnsi="Arial" w:cs="Arial"/>
          <w:lang w:val="fr-FR"/>
        </w:rPr>
        <w:noBreakHyphen/>
      </w:r>
      <w:r w:rsidRPr="00963572">
        <w:rPr>
          <w:rFonts w:ascii="Arial" w:hAnsi="Arial" w:cs="Arial"/>
          <w:lang w:val="fr-FR"/>
        </w:rPr>
        <w:t>Uni prendront le relais pour les six années à venir.</w:t>
      </w:r>
    </w:p>
    <w:p w14:paraId="7552EBFC" w14:textId="77777777" w:rsidR="0027223A" w:rsidRPr="00675EEE" w:rsidRDefault="0027223A" w:rsidP="00675EEE">
      <w:pPr>
        <w:pStyle w:val="ListParagraph"/>
        <w:tabs>
          <w:tab w:val="left" w:pos="567"/>
        </w:tabs>
        <w:ind w:left="0"/>
        <w:jc w:val="both"/>
        <w:rPr>
          <w:rFonts w:ascii="Arial" w:hAnsi="Arial" w:cs="Arial"/>
          <w:lang w:val="fr-FR"/>
        </w:rPr>
      </w:pPr>
    </w:p>
    <w:p w14:paraId="09340F6C" w14:textId="4AD2B45F"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 xml:space="preserve">Des </w:t>
      </w:r>
      <w:r w:rsidRPr="00675EEE">
        <w:rPr>
          <w:rFonts w:ascii="Arial" w:hAnsi="Arial" w:cs="Arial"/>
          <w:b/>
          <w:lang w:val="fr-FR"/>
        </w:rPr>
        <w:t>unités d’intégration des forces OTAN (NFIU)</w:t>
      </w:r>
      <w:r w:rsidRPr="00675EEE">
        <w:rPr>
          <w:rFonts w:ascii="Arial" w:hAnsi="Arial" w:cs="Arial"/>
          <w:lang w:val="fr-FR"/>
        </w:rPr>
        <w:t xml:space="preserve"> ont été activées sur le territoire de six </w:t>
      </w:r>
      <w:r w:rsidR="00FC6E48">
        <w:rPr>
          <w:rFonts w:ascii="Arial" w:hAnsi="Arial" w:cs="Arial"/>
          <w:lang w:val="fr-FR"/>
        </w:rPr>
        <w:t>A</w:t>
      </w:r>
      <w:r w:rsidRPr="00675EEE">
        <w:rPr>
          <w:rFonts w:ascii="Arial" w:hAnsi="Arial" w:cs="Arial"/>
          <w:lang w:val="fr-FR"/>
        </w:rPr>
        <w:t xml:space="preserve">lliés (Bulgarie, Estonie, Lettonie, Lituanie, Pologne et Roumanie) en septembre 2015. </w:t>
      </w:r>
      <w:r w:rsidRPr="00963572">
        <w:rPr>
          <w:rFonts w:ascii="Arial" w:hAnsi="Arial" w:cs="Arial"/>
          <w:lang w:val="fr-FR"/>
        </w:rPr>
        <w:t xml:space="preserve">Deux nouvelles unités seront par ailleurs mises sur pied en Hongrie et en Slovaquie. Les NFIU doivent œuvrer à la mise en place de réseaux logistiques, de nœuds de transport et d’infrastructures de soutien pour la VJTF et les forces de remplacement intervenant en cas de crise. Elles apportent également un soutien décisif à la planification de la défense collective et à la coordination des exercices. Elles ont atteint leur capacité initiale </w:t>
      </w:r>
      <w:r w:rsidR="00D22708" w:rsidRPr="00963572">
        <w:rPr>
          <w:rFonts w:ascii="Arial" w:hAnsi="Arial" w:cs="Arial"/>
          <w:lang w:val="fr-FR"/>
        </w:rPr>
        <w:t xml:space="preserve">au </w:t>
      </w:r>
      <w:r w:rsidRPr="00963572">
        <w:rPr>
          <w:rFonts w:ascii="Arial" w:hAnsi="Arial" w:cs="Arial"/>
          <w:lang w:val="fr-FR"/>
        </w:rPr>
        <w:t>1</w:t>
      </w:r>
      <w:r w:rsidRPr="00963572">
        <w:rPr>
          <w:rFonts w:ascii="Arial" w:hAnsi="Arial" w:cs="Arial"/>
          <w:vertAlign w:val="superscript"/>
          <w:lang w:val="fr-FR"/>
        </w:rPr>
        <w:t>er</w:t>
      </w:r>
      <w:r w:rsidR="00D45BE4" w:rsidRPr="00963572">
        <w:rPr>
          <w:rFonts w:ascii="Arial" w:hAnsi="Arial" w:cs="Arial"/>
          <w:lang w:val="fr-FR"/>
        </w:rPr>
        <w:t xml:space="preserve"> </w:t>
      </w:r>
      <w:r w:rsidRPr="00963572">
        <w:rPr>
          <w:rFonts w:ascii="Arial" w:hAnsi="Arial" w:cs="Arial"/>
          <w:lang w:val="fr-FR"/>
        </w:rPr>
        <w:t xml:space="preserve">janvier 2016 et </w:t>
      </w:r>
      <w:r w:rsidR="00D22708" w:rsidRPr="00963572">
        <w:rPr>
          <w:rFonts w:ascii="Arial" w:hAnsi="Arial" w:cs="Arial"/>
          <w:lang w:val="fr-FR"/>
        </w:rPr>
        <w:t>étaient</w:t>
      </w:r>
      <w:r w:rsidRPr="00963572">
        <w:rPr>
          <w:rFonts w:ascii="Arial" w:hAnsi="Arial" w:cs="Arial"/>
          <w:lang w:val="fr-FR"/>
        </w:rPr>
        <w:t xml:space="preserve"> opérationnelles </w:t>
      </w:r>
      <w:r w:rsidR="004A1921" w:rsidRPr="00963572">
        <w:rPr>
          <w:rFonts w:ascii="Arial" w:hAnsi="Arial" w:cs="Arial"/>
          <w:lang w:val="fr-FR"/>
        </w:rPr>
        <w:t>pour le</w:t>
      </w:r>
      <w:r w:rsidRPr="00963572">
        <w:rPr>
          <w:rFonts w:ascii="Arial" w:hAnsi="Arial" w:cs="Arial"/>
          <w:lang w:val="fr-FR"/>
        </w:rPr>
        <w:t xml:space="preserve"> sommet de </w:t>
      </w:r>
      <w:r w:rsidR="00D45BE4" w:rsidRPr="00963572">
        <w:rPr>
          <w:rFonts w:ascii="Arial" w:hAnsi="Arial" w:cs="Arial"/>
          <w:lang w:val="fr-FR"/>
        </w:rPr>
        <w:t>Varsovie</w:t>
      </w:r>
      <w:r w:rsidR="004A1921" w:rsidRPr="00963572">
        <w:rPr>
          <w:rFonts w:ascii="Arial" w:hAnsi="Arial" w:cs="Arial"/>
          <w:lang w:val="fr-FR"/>
        </w:rPr>
        <w:t xml:space="preserve">, </w:t>
      </w:r>
      <w:r w:rsidR="00A61C9D" w:rsidRPr="00963572">
        <w:rPr>
          <w:rFonts w:ascii="Arial" w:hAnsi="Arial" w:cs="Arial"/>
          <w:lang w:val="fr-FR"/>
        </w:rPr>
        <w:t>en juillet 2016 (NATO</w:t>
      </w:r>
      <w:r w:rsidR="004A1921" w:rsidRPr="00963572">
        <w:rPr>
          <w:rFonts w:ascii="Arial" w:hAnsi="Arial" w:cs="Arial"/>
          <w:lang w:val="fr-FR"/>
        </w:rPr>
        <w:t>(c)</w:t>
      </w:r>
      <w:r w:rsidRPr="00963572">
        <w:rPr>
          <w:rFonts w:ascii="Arial" w:hAnsi="Arial" w:cs="Arial"/>
          <w:lang w:val="fr-FR"/>
        </w:rPr>
        <w:t>, 2015).</w:t>
      </w:r>
    </w:p>
    <w:p w14:paraId="2D4052DD" w14:textId="77777777" w:rsidR="0027223A" w:rsidRPr="00675EEE" w:rsidRDefault="0027223A" w:rsidP="00675EEE"/>
    <w:p w14:paraId="17B7BDB5" w14:textId="6F8571FD"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 xml:space="preserve">Basé à Szczecin, en Pologne, le </w:t>
      </w:r>
      <w:r w:rsidRPr="00675EEE">
        <w:rPr>
          <w:rFonts w:ascii="Arial" w:hAnsi="Arial" w:cs="Arial"/>
          <w:b/>
          <w:lang w:val="fr-FR"/>
        </w:rPr>
        <w:t xml:space="preserve">Corps multinational Nord-Est (MNCNE) </w:t>
      </w:r>
      <w:r w:rsidR="00D22708" w:rsidRPr="00675EEE">
        <w:rPr>
          <w:rFonts w:ascii="Arial" w:hAnsi="Arial" w:cs="Arial"/>
          <w:lang w:val="fr-FR"/>
        </w:rPr>
        <w:t>était</w:t>
      </w:r>
      <w:r w:rsidRPr="00675EEE">
        <w:rPr>
          <w:rFonts w:ascii="Arial" w:hAnsi="Arial" w:cs="Arial"/>
          <w:lang w:val="fr-FR"/>
        </w:rPr>
        <w:t xml:space="preserve"> </w:t>
      </w:r>
      <w:r w:rsidR="00734789" w:rsidRPr="00675EEE">
        <w:rPr>
          <w:rFonts w:ascii="Arial" w:hAnsi="Arial" w:cs="Arial"/>
          <w:lang w:val="fr-FR"/>
        </w:rPr>
        <w:t>actuellement rééquipé</w:t>
      </w:r>
      <w:r w:rsidRPr="00675EEE">
        <w:rPr>
          <w:rFonts w:ascii="Arial" w:hAnsi="Arial" w:cs="Arial"/>
          <w:lang w:val="fr-FR"/>
        </w:rPr>
        <w:t xml:space="preserve"> par le Danemark, l’Allemagne et la Pologne de manière à pouvoir fournir des capacités supplémentaires présentant un niveau de préparation élevé aux forces qui seraient déployées en Pologne et dans les </w:t>
      </w:r>
      <w:r w:rsidR="00734789" w:rsidRPr="00675EEE">
        <w:rPr>
          <w:rFonts w:ascii="Arial" w:hAnsi="Arial" w:cs="Arial"/>
          <w:lang w:val="fr-FR"/>
        </w:rPr>
        <w:t>É</w:t>
      </w:r>
      <w:r w:rsidR="00F512C9" w:rsidRPr="00675EEE">
        <w:rPr>
          <w:rFonts w:ascii="Arial" w:hAnsi="Arial" w:cs="Arial"/>
          <w:lang w:val="fr-FR"/>
        </w:rPr>
        <w:t xml:space="preserve">tats baltes. </w:t>
      </w:r>
      <w:r w:rsidR="00F512C9" w:rsidRPr="00963572">
        <w:rPr>
          <w:rFonts w:ascii="Arial" w:hAnsi="Arial" w:cs="Arial"/>
          <w:lang w:val="fr-FR"/>
        </w:rPr>
        <w:t xml:space="preserve">Il </w:t>
      </w:r>
      <w:r w:rsidR="00D22708" w:rsidRPr="00963572">
        <w:rPr>
          <w:rFonts w:ascii="Arial" w:hAnsi="Arial" w:cs="Arial"/>
          <w:lang w:val="fr-FR"/>
        </w:rPr>
        <w:t>a pris</w:t>
      </w:r>
      <w:r w:rsidRPr="00963572">
        <w:rPr>
          <w:rFonts w:ascii="Arial" w:hAnsi="Arial" w:cs="Arial"/>
          <w:lang w:val="fr-FR"/>
        </w:rPr>
        <w:t xml:space="preserve"> le contrôle opérationnel complet des six NFIU </w:t>
      </w:r>
      <w:r w:rsidR="00D22708" w:rsidRPr="00963572">
        <w:rPr>
          <w:rFonts w:ascii="Arial" w:hAnsi="Arial" w:cs="Arial"/>
          <w:lang w:val="fr-FR"/>
        </w:rPr>
        <w:t>plus tôt cette année</w:t>
      </w:r>
      <w:r w:rsidRPr="00963572">
        <w:rPr>
          <w:rFonts w:ascii="Arial" w:hAnsi="Arial" w:cs="Arial"/>
          <w:lang w:val="fr-FR"/>
        </w:rPr>
        <w:t>. Le MNCNE devrait également être en mesure d’assurer une veille situationnelle dans la région, et servir de point de convergence pour la coopération régionale. Un quartier général supplément</w:t>
      </w:r>
      <w:r w:rsidR="00D22708" w:rsidRPr="00963572">
        <w:rPr>
          <w:rFonts w:ascii="Arial" w:hAnsi="Arial" w:cs="Arial"/>
          <w:lang w:val="fr-FR"/>
        </w:rPr>
        <w:t>aire de division multinational sud-e</w:t>
      </w:r>
      <w:r w:rsidRPr="00963572">
        <w:rPr>
          <w:rFonts w:ascii="Arial" w:hAnsi="Arial" w:cs="Arial"/>
          <w:lang w:val="fr-FR"/>
        </w:rPr>
        <w:t xml:space="preserve">st chargé de mener un rôle similaire sur le flanc </w:t>
      </w:r>
      <w:r w:rsidR="00D22708" w:rsidRPr="00963572">
        <w:rPr>
          <w:rFonts w:ascii="Arial" w:hAnsi="Arial" w:cs="Arial"/>
          <w:lang w:val="fr-FR"/>
        </w:rPr>
        <w:t>s</w:t>
      </w:r>
      <w:r w:rsidR="009E439C">
        <w:rPr>
          <w:rFonts w:ascii="Arial" w:hAnsi="Arial" w:cs="Arial"/>
          <w:lang w:val="fr-FR"/>
        </w:rPr>
        <w:t>ud</w:t>
      </w:r>
      <w:r w:rsidR="009E439C">
        <w:rPr>
          <w:rFonts w:ascii="Arial" w:hAnsi="Arial" w:cs="Arial"/>
          <w:lang w:val="fr-FR"/>
        </w:rPr>
        <w:noBreakHyphen/>
      </w:r>
      <w:r w:rsidR="00D22708" w:rsidRPr="00963572">
        <w:rPr>
          <w:rFonts w:ascii="Arial" w:hAnsi="Arial" w:cs="Arial"/>
          <w:lang w:val="fr-FR"/>
        </w:rPr>
        <w:t>e</w:t>
      </w:r>
      <w:r w:rsidRPr="00963572">
        <w:rPr>
          <w:rFonts w:ascii="Arial" w:hAnsi="Arial" w:cs="Arial"/>
          <w:lang w:val="fr-FR"/>
        </w:rPr>
        <w:t>st de l’Alliance a été activé le 1</w:t>
      </w:r>
      <w:r w:rsidRPr="00963572">
        <w:rPr>
          <w:rFonts w:ascii="Arial" w:hAnsi="Arial" w:cs="Arial"/>
          <w:vertAlign w:val="superscript"/>
          <w:lang w:val="fr-FR"/>
        </w:rPr>
        <w:t>er</w:t>
      </w:r>
      <w:r w:rsidRPr="00963572">
        <w:rPr>
          <w:rFonts w:ascii="Arial" w:hAnsi="Arial" w:cs="Arial"/>
          <w:lang w:val="fr-FR"/>
        </w:rPr>
        <w:t xml:space="preserve"> décembre 2015. </w:t>
      </w:r>
    </w:p>
    <w:p w14:paraId="7EF57EEC" w14:textId="77777777" w:rsidR="0027223A" w:rsidRPr="00873F20" w:rsidRDefault="0027223A" w:rsidP="00675EEE"/>
    <w:p w14:paraId="32CFAA88" w14:textId="1AEF07BE" w:rsidR="004A1921" w:rsidRPr="00873F20" w:rsidRDefault="00AB6650" w:rsidP="00AB6650">
      <w:pPr>
        <w:pStyle w:val="Heading2"/>
        <w:numPr>
          <w:ilvl w:val="0"/>
          <w:numId w:val="0"/>
        </w:numPr>
        <w:tabs>
          <w:tab w:val="clear" w:pos="567"/>
        </w:tabs>
        <w:ind w:left="567"/>
      </w:pPr>
      <w:bookmarkStart w:id="13" w:name="_Toc464810720"/>
      <w:r w:rsidRPr="00873F20">
        <w:t>B.</w:t>
      </w:r>
      <w:r w:rsidRPr="00873F20">
        <w:tab/>
      </w:r>
      <w:r w:rsidR="004A1921" w:rsidRPr="00873F20">
        <w:t>UNE PRÉSENCE AVANCÉE RENFORCÉE</w:t>
      </w:r>
      <w:bookmarkEnd w:id="13"/>
    </w:p>
    <w:p w14:paraId="29A9387F" w14:textId="77777777" w:rsidR="004A1921" w:rsidRPr="00873F20" w:rsidRDefault="004A1921" w:rsidP="004A1921"/>
    <w:p w14:paraId="5BE93554" w14:textId="5CD60DBC" w:rsidR="004A1921" w:rsidRPr="00963572" w:rsidRDefault="004A1921" w:rsidP="00825AB9">
      <w:pPr>
        <w:pStyle w:val="ListParagraph"/>
        <w:numPr>
          <w:ilvl w:val="0"/>
          <w:numId w:val="25"/>
        </w:numPr>
        <w:tabs>
          <w:tab w:val="left" w:pos="567"/>
        </w:tabs>
        <w:ind w:left="0" w:firstLine="0"/>
        <w:jc w:val="both"/>
        <w:rPr>
          <w:rFonts w:ascii="Arial" w:hAnsi="Arial" w:cs="Arial"/>
          <w:shd w:val="clear" w:color="auto" w:fill="FEFEFE"/>
          <w:lang w:val="fr-FR"/>
        </w:rPr>
      </w:pPr>
      <w:r w:rsidRPr="00675EEE">
        <w:rPr>
          <w:rFonts w:ascii="Arial" w:hAnsi="Arial" w:cs="Arial"/>
          <w:lang w:val="fr-FR"/>
        </w:rPr>
        <w:t>Les</w:t>
      </w:r>
      <w:r w:rsidR="00432587" w:rsidRPr="00675EEE">
        <w:rPr>
          <w:rFonts w:ascii="Arial" w:hAnsi="Arial" w:cs="Arial"/>
          <w:lang w:val="fr-FR"/>
        </w:rPr>
        <w:t xml:space="preserve"> Alliés réunis au sommet de Var</w:t>
      </w:r>
      <w:r w:rsidRPr="00675EEE">
        <w:rPr>
          <w:rFonts w:ascii="Arial" w:hAnsi="Arial" w:cs="Arial"/>
          <w:lang w:val="fr-FR"/>
        </w:rPr>
        <w:t>s</w:t>
      </w:r>
      <w:r w:rsidR="00432587" w:rsidRPr="00675EEE">
        <w:rPr>
          <w:rFonts w:ascii="Arial" w:hAnsi="Arial" w:cs="Arial"/>
          <w:lang w:val="fr-FR"/>
        </w:rPr>
        <w:t>o</w:t>
      </w:r>
      <w:r w:rsidRPr="00675EEE">
        <w:rPr>
          <w:rFonts w:ascii="Arial" w:hAnsi="Arial" w:cs="Arial"/>
          <w:lang w:val="fr-FR"/>
        </w:rPr>
        <w:t xml:space="preserve">vie ont décidé d’établir une présence multinationale renforcée </w:t>
      </w:r>
      <w:r w:rsidR="009E439C">
        <w:rPr>
          <w:rFonts w:ascii="Arial" w:hAnsi="Arial" w:cs="Arial"/>
          <w:lang w:val="fr-FR"/>
        </w:rPr>
        <w:t xml:space="preserve">à l’avant </w:t>
      </w:r>
      <w:r w:rsidRPr="00675EEE">
        <w:rPr>
          <w:rFonts w:ascii="Arial" w:hAnsi="Arial" w:cs="Arial"/>
          <w:lang w:val="fr-FR"/>
        </w:rPr>
        <w:t xml:space="preserve">en Estonie, en Lettonie, en Lituanie et en Pologne, de manière à </w:t>
      </w:r>
      <w:r w:rsidR="00432587" w:rsidRPr="00675EEE">
        <w:rPr>
          <w:rFonts w:ascii="Arial" w:hAnsi="Arial" w:cs="Arial"/>
          <w:lang w:val="fr-FR"/>
        </w:rPr>
        <w:t>consolider</w:t>
      </w:r>
      <w:r w:rsidRPr="00675EEE">
        <w:rPr>
          <w:rFonts w:ascii="Arial" w:hAnsi="Arial" w:cs="Arial"/>
          <w:lang w:val="fr-FR"/>
        </w:rPr>
        <w:t xml:space="preserve"> les moyens dont dispose l’Organisation pour répondre </w:t>
      </w:r>
      <w:r w:rsidR="00F512C9" w:rsidRPr="00675EEE">
        <w:rPr>
          <w:rFonts w:ascii="Arial" w:hAnsi="Arial" w:cs="Arial"/>
          <w:lang w:val="fr-FR"/>
        </w:rPr>
        <w:t>aux</w:t>
      </w:r>
      <w:r w:rsidRPr="00675EEE">
        <w:rPr>
          <w:rFonts w:ascii="Arial" w:hAnsi="Arial" w:cs="Arial"/>
          <w:lang w:val="fr-FR"/>
        </w:rPr>
        <w:t xml:space="preserve"> frappes rapides </w:t>
      </w:r>
      <w:r w:rsidR="00F512C9" w:rsidRPr="00675EEE">
        <w:rPr>
          <w:rFonts w:ascii="Arial" w:hAnsi="Arial" w:cs="Arial"/>
          <w:lang w:val="fr-FR"/>
        </w:rPr>
        <w:t xml:space="preserve">de tous types qui pourraient se produire </w:t>
      </w:r>
      <w:r w:rsidRPr="00675EEE">
        <w:rPr>
          <w:rFonts w:ascii="Arial" w:hAnsi="Arial" w:cs="Arial"/>
          <w:lang w:val="fr-FR"/>
        </w:rPr>
        <w:t xml:space="preserve">dans la région. </w:t>
      </w:r>
      <w:r w:rsidR="00F512C9" w:rsidRPr="00963572">
        <w:rPr>
          <w:rFonts w:ascii="Arial" w:hAnsi="Arial" w:cs="Arial"/>
          <w:lang w:val="fr-FR"/>
        </w:rPr>
        <w:t xml:space="preserve">Stationnés en rotation de manière à assurer une présence </w:t>
      </w:r>
      <w:r w:rsidR="004133EC" w:rsidRPr="00963572">
        <w:rPr>
          <w:rFonts w:ascii="Arial" w:hAnsi="Arial" w:cs="Arial"/>
          <w:lang w:val="fr-FR"/>
        </w:rPr>
        <w:t>permanente</w:t>
      </w:r>
      <w:r w:rsidR="00F512C9" w:rsidRPr="00963572">
        <w:rPr>
          <w:rFonts w:ascii="Arial" w:hAnsi="Arial" w:cs="Arial"/>
          <w:lang w:val="fr-FR"/>
        </w:rPr>
        <w:t>, l</w:t>
      </w:r>
      <w:r w:rsidR="00432587" w:rsidRPr="00963572">
        <w:rPr>
          <w:rFonts w:ascii="Arial" w:hAnsi="Arial" w:cs="Arial"/>
          <w:lang w:val="fr-FR"/>
        </w:rPr>
        <w:t>es quatre groupements tactiques de la taille d’un bataillon</w:t>
      </w:r>
      <w:r w:rsidR="00C77229" w:rsidRPr="00963572">
        <w:rPr>
          <w:rFonts w:ascii="Arial" w:hAnsi="Arial" w:cs="Arial"/>
          <w:lang w:val="fr-FR"/>
        </w:rPr>
        <w:t>,</w:t>
      </w:r>
      <w:r w:rsidR="00432587" w:rsidRPr="00963572">
        <w:rPr>
          <w:rFonts w:ascii="Arial" w:hAnsi="Arial" w:cs="Arial"/>
          <w:lang w:val="fr-FR"/>
        </w:rPr>
        <w:t xml:space="preserve"> </w:t>
      </w:r>
      <w:r w:rsidR="00F512C9" w:rsidRPr="00963572">
        <w:rPr>
          <w:rFonts w:ascii="Arial" w:hAnsi="Arial" w:cs="Arial"/>
          <w:lang w:val="fr-FR"/>
        </w:rPr>
        <w:t>forts chacun de 1 000 hommes déployés à cette fin</w:t>
      </w:r>
      <w:r w:rsidR="00C77229" w:rsidRPr="00963572">
        <w:rPr>
          <w:rFonts w:ascii="Arial" w:hAnsi="Arial" w:cs="Arial"/>
          <w:lang w:val="fr-FR"/>
        </w:rPr>
        <w:t>,</w:t>
      </w:r>
      <w:r w:rsidR="00F512C9" w:rsidRPr="00963572">
        <w:rPr>
          <w:rFonts w:ascii="Arial" w:hAnsi="Arial" w:cs="Arial"/>
          <w:lang w:val="fr-FR"/>
        </w:rPr>
        <w:t xml:space="preserve"> </w:t>
      </w:r>
      <w:r w:rsidR="00432587" w:rsidRPr="00963572">
        <w:rPr>
          <w:rFonts w:ascii="Arial" w:hAnsi="Arial" w:cs="Arial"/>
          <w:lang w:val="fr-FR"/>
        </w:rPr>
        <w:t>seront en mesure d’opérer de concert avec les forces nationales. Le Canada, l’Allemagne, le Royaume-Uni et les É</w:t>
      </w:r>
      <w:r w:rsidR="00C8401C">
        <w:rPr>
          <w:rFonts w:ascii="Arial" w:hAnsi="Arial" w:cs="Arial"/>
          <w:lang w:val="fr-FR"/>
        </w:rPr>
        <w:t>tats-Unis feront office de pays-</w:t>
      </w:r>
      <w:r w:rsidR="00432587" w:rsidRPr="00963572">
        <w:rPr>
          <w:rFonts w:ascii="Arial" w:hAnsi="Arial" w:cs="Arial"/>
          <w:lang w:val="fr-FR"/>
        </w:rPr>
        <w:t xml:space="preserve">cadres et prendront la tête des bataillons en Lettonie, en Lituanie, en Estonie et en Pologne respectivement. La Pologne hébergera par ailleurs </w:t>
      </w:r>
      <w:r w:rsidR="00F512C9" w:rsidRPr="00963572">
        <w:rPr>
          <w:rFonts w:ascii="Arial" w:hAnsi="Arial" w:cs="Arial"/>
          <w:lang w:val="fr-FR"/>
        </w:rPr>
        <w:t>le</w:t>
      </w:r>
      <w:r w:rsidR="00432587" w:rsidRPr="00963572">
        <w:rPr>
          <w:rFonts w:ascii="Arial" w:hAnsi="Arial" w:cs="Arial"/>
          <w:lang w:val="fr-FR"/>
        </w:rPr>
        <w:t xml:space="preserve"> quartier gén</w:t>
      </w:r>
      <w:r w:rsidR="00F512C9" w:rsidRPr="00963572">
        <w:rPr>
          <w:rFonts w:ascii="Arial" w:hAnsi="Arial" w:cs="Arial"/>
          <w:lang w:val="fr-FR"/>
        </w:rPr>
        <w:t>éral de division multinational</w:t>
      </w:r>
      <w:r w:rsidR="00432587" w:rsidRPr="00963572">
        <w:rPr>
          <w:rFonts w:ascii="Arial" w:hAnsi="Arial" w:cs="Arial"/>
          <w:lang w:val="fr-FR"/>
        </w:rPr>
        <w:t xml:space="preserve"> q</w:t>
      </w:r>
      <w:r w:rsidR="00F512C9" w:rsidRPr="00963572">
        <w:rPr>
          <w:rFonts w:ascii="Arial" w:hAnsi="Arial" w:cs="Arial"/>
          <w:lang w:val="fr-FR"/>
        </w:rPr>
        <w:t xml:space="preserve">ui assurera le commandement de ces </w:t>
      </w:r>
      <w:r w:rsidR="00432587" w:rsidRPr="00963572">
        <w:rPr>
          <w:rFonts w:ascii="Arial" w:hAnsi="Arial" w:cs="Arial"/>
          <w:lang w:val="fr-FR"/>
        </w:rPr>
        <w:t xml:space="preserve">quatre groupements tactiques de la taille d’un bataillon </w:t>
      </w:r>
      <w:r w:rsidR="00432587" w:rsidRPr="00963572">
        <w:rPr>
          <w:rFonts w:ascii="Arial" w:hAnsi="Arial" w:cs="Arial"/>
          <w:shd w:val="clear" w:color="auto" w:fill="FEFEFE"/>
          <w:lang w:val="fr-FR"/>
        </w:rPr>
        <w:t>(</w:t>
      </w:r>
      <w:r w:rsidR="004133EC" w:rsidRPr="00963572">
        <w:rPr>
          <w:rFonts w:ascii="Arial" w:hAnsi="Arial" w:cs="Arial"/>
          <w:shd w:val="clear" w:color="auto" w:fill="FEFEFE"/>
          <w:lang w:val="fr-FR"/>
        </w:rPr>
        <w:t>NATO</w:t>
      </w:r>
      <w:r w:rsidR="00432587" w:rsidRPr="00963572">
        <w:rPr>
          <w:rFonts w:ascii="Arial" w:hAnsi="Arial" w:cs="Arial"/>
          <w:shd w:val="clear" w:color="auto" w:fill="FEFEFE"/>
          <w:lang w:val="fr-FR"/>
        </w:rPr>
        <w:t xml:space="preserve">(a), 2016, </w:t>
      </w:r>
      <w:proofErr w:type="spellStart"/>
      <w:r w:rsidR="00432587" w:rsidRPr="00963572">
        <w:rPr>
          <w:rFonts w:ascii="Arial" w:hAnsi="Arial" w:cs="Arial"/>
          <w:lang w:val="fr-FR"/>
        </w:rPr>
        <w:t>Gotkowska</w:t>
      </w:r>
      <w:proofErr w:type="spellEnd"/>
      <w:r w:rsidR="00432587" w:rsidRPr="00963572">
        <w:rPr>
          <w:rFonts w:ascii="Arial" w:hAnsi="Arial" w:cs="Arial"/>
          <w:shd w:val="clear" w:color="auto" w:fill="FEFEFE"/>
          <w:lang w:val="fr-FR"/>
        </w:rPr>
        <w:t xml:space="preserve">, 2016). À ce jour, les engagements </w:t>
      </w:r>
      <w:r w:rsidR="00F512C9" w:rsidRPr="00963572">
        <w:rPr>
          <w:rFonts w:ascii="Arial" w:hAnsi="Arial" w:cs="Arial"/>
          <w:shd w:val="clear" w:color="auto" w:fill="FEFEFE"/>
          <w:lang w:val="fr-FR"/>
        </w:rPr>
        <w:t xml:space="preserve">les plus récents </w:t>
      </w:r>
      <w:r w:rsidR="00432587" w:rsidRPr="00963572">
        <w:rPr>
          <w:rFonts w:ascii="Arial" w:hAnsi="Arial" w:cs="Arial"/>
          <w:shd w:val="clear" w:color="auto" w:fill="FEFEFE"/>
          <w:lang w:val="fr-FR"/>
        </w:rPr>
        <w:t>au titre des différents bataillons se répartissent comme suit :</w:t>
      </w:r>
    </w:p>
    <w:p w14:paraId="764EE8C0" w14:textId="77777777" w:rsidR="00432587" w:rsidRPr="00873F20" w:rsidRDefault="00432587" w:rsidP="004A1921"/>
    <w:p w14:paraId="4C44027D" w14:textId="42CE31D3" w:rsidR="00432587" w:rsidRPr="00873F20" w:rsidRDefault="00432587" w:rsidP="00825AB9">
      <w:pPr>
        <w:pStyle w:val="ListParagraph"/>
        <w:numPr>
          <w:ilvl w:val="0"/>
          <w:numId w:val="20"/>
        </w:numPr>
        <w:rPr>
          <w:rFonts w:ascii="Arial" w:eastAsia="Times New Roman" w:hAnsi="Arial" w:cs="Arial"/>
          <w:lang w:val="fr-FR"/>
        </w:rPr>
      </w:pPr>
      <w:r w:rsidRPr="00873F20">
        <w:rPr>
          <w:rFonts w:ascii="Arial" w:eastAsia="Times New Roman" w:hAnsi="Arial" w:cs="Arial"/>
          <w:b/>
          <w:lang w:val="fr-FR"/>
        </w:rPr>
        <w:t>Estonie</w:t>
      </w:r>
      <w:r w:rsidRPr="00873F20">
        <w:rPr>
          <w:rFonts w:ascii="Arial" w:eastAsia="Times New Roman" w:hAnsi="Arial" w:cs="Arial"/>
          <w:lang w:val="fr-FR"/>
        </w:rPr>
        <w:t xml:space="preserve"> </w:t>
      </w:r>
      <w:r w:rsidR="008C5607" w:rsidRPr="00873F20">
        <w:rPr>
          <w:rFonts w:ascii="Arial" w:eastAsia="Times New Roman" w:hAnsi="Arial" w:cs="Arial"/>
          <w:lang w:val="fr-FR"/>
        </w:rPr>
        <w:t>– effectif confirmé de 850</w:t>
      </w:r>
      <w:r w:rsidRPr="00873F20">
        <w:rPr>
          <w:rFonts w:ascii="Arial" w:eastAsia="Times New Roman" w:hAnsi="Arial" w:cs="Arial"/>
          <w:lang w:val="fr-FR"/>
        </w:rPr>
        <w:t xml:space="preserve"> hommes</w:t>
      </w:r>
      <w:r w:rsidR="009E439C">
        <w:rPr>
          <w:rFonts w:ascii="Arial" w:eastAsia="Times New Roman" w:hAnsi="Arial" w:cs="Arial"/>
          <w:lang w:val="fr-FR"/>
        </w:rPr>
        <w:t xml:space="preserve"> et femmes</w:t>
      </w:r>
      <w:r w:rsidRPr="00873F20">
        <w:rPr>
          <w:rFonts w:ascii="Arial" w:eastAsia="Times New Roman" w:hAnsi="Arial" w:cs="Arial"/>
          <w:lang w:val="fr-FR"/>
        </w:rPr>
        <w:t xml:space="preserve"> (500 pour le Royaume-Uni, 200 pour le Danemark et 150 pour la France)</w:t>
      </w:r>
      <w:r w:rsidR="00C77229">
        <w:rPr>
          <w:rFonts w:ascii="Arial" w:eastAsia="Times New Roman" w:hAnsi="Arial" w:cs="Arial"/>
          <w:lang w:val="fr-FR"/>
        </w:rPr>
        <w:t xml:space="preserve"> </w:t>
      </w:r>
      <w:r w:rsidRPr="00873F20">
        <w:rPr>
          <w:rFonts w:ascii="Arial" w:eastAsia="Times New Roman" w:hAnsi="Arial" w:cs="Arial"/>
          <w:lang w:val="fr-FR"/>
        </w:rPr>
        <w:t>;</w:t>
      </w:r>
    </w:p>
    <w:p w14:paraId="3A8D1BEC" w14:textId="77777777" w:rsidR="00432587" w:rsidRPr="00873F20" w:rsidRDefault="00432587" w:rsidP="004A1921"/>
    <w:p w14:paraId="6E78C7D9" w14:textId="1DE7AEC1" w:rsidR="00432587" w:rsidRPr="00873F20" w:rsidRDefault="00432587" w:rsidP="00825AB9">
      <w:pPr>
        <w:pStyle w:val="ListParagraph"/>
        <w:numPr>
          <w:ilvl w:val="0"/>
          <w:numId w:val="20"/>
        </w:numPr>
        <w:rPr>
          <w:rFonts w:ascii="Arial" w:eastAsia="Times New Roman" w:hAnsi="Arial" w:cs="Arial"/>
          <w:lang w:val="fr-FR"/>
        </w:rPr>
      </w:pPr>
      <w:r w:rsidRPr="00873F20">
        <w:rPr>
          <w:rFonts w:ascii="Arial" w:eastAsia="Times New Roman" w:hAnsi="Arial" w:cs="Arial"/>
          <w:b/>
          <w:lang w:val="fr-FR"/>
        </w:rPr>
        <w:t>Lettonie</w:t>
      </w:r>
      <w:r w:rsidRPr="00873F20">
        <w:rPr>
          <w:rFonts w:ascii="Arial" w:eastAsia="Times New Roman" w:hAnsi="Arial" w:cs="Arial"/>
          <w:lang w:val="fr-FR"/>
        </w:rPr>
        <w:t xml:space="preserve"> – </w:t>
      </w:r>
      <w:r w:rsidR="008C5607" w:rsidRPr="00873F20">
        <w:rPr>
          <w:rFonts w:ascii="Arial" w:eastAsia="Times New Roman" w:hAnsi="Arial" w:cs="Arial"/>
          <w:lang w:val="fr-FR"/>
        </w:rPr>
        <w:t xml:space="preserve">effectif confirmé de 600 hommes </w:t>
      </w:r>
      <w:r w:rsidR="009E439C">
        <w:rPr>
          <w:rFonts w:ascii="Arial" w:eastAsia="Times New Roman" w:hAnsi="Arial" w:cs="Arial"/>
          <w:lang w:val="fr-FR"/>
        </w:rPr>
        <w:t xml:space="preserve">et femmes </w:t>
      </w:r>
      <w:r w:rsidR="008C5607" w:rsidRPr="00873F20">
        <w:rPr>
          <w:rFonts w:ascii="Arial" w:eastAsia="Times New Roman" w:hAnsi="Arial" w:cs="Arial"/>
          <w:lang w:val="fr-FR"/>
        </w:rPr>
        <w:t xml:space="preserve">(450 pour le Canada et 150 pour la Pologne). Des contributions supplémentaires (dont les chiffres précis restent toutefois à confirmer) seront apportées par l’Italie, la Slovénie et le </w:t>
      </w:r>
      <w:r w:rsidR="00C77229">
        <w:rPr>
          <w:rFonts w:ascii="Arial" w:eastAsia="Times New Roman" w:hAnsi="Arial" w:cs="Arial"/>
          <w:lang w:val="fr-FR"/>
        </w:rPr>
        <w:t xml:space="preserve">Portugal </w:t>
      </w:r>
      <w:r w:rsidR="008C5607" w:rsidRPr="00873F20">
        <w:rPr>
          <w:rFonts w:ascii="Arial" w:eastAsia="Times New Roman" w:hAnsi="Arial" w:cs="Arial"/>
          <w:lang w:val="fr-FR"/>
        </w:rPr>
        <w:t>;</w:t>
      </w:r>
    </w:p>
    <w:p w14:paraId="479BA87A" w14:textId="77777777" w:rsidR="008C5607" w:rsidRPr="00873F20" w:rsidRDefault="008C5607" w:rsidP="004A1921"/>
    <w:p w14:paraId="117F0F21" w14:textId="39593C20" w:rsidR="008C5607" w:rsidRPr="00873F20" w:rsidRDefault="008C5607" w:rsidP="00825AB9">
      <w:pPr>
        <w:pStyle w:val="ListParagraph"/>
        <w:numPr>
          <w:ilvl w:val="0"/>
          <w:numId w:val="20"/>
        </w:numPr>
        <w:rPr>
          <w:rFonts w:ascii="Arial" w:eastAsia="Times New Roman" w:hAnsi="Arial" w:cs="Arial"/>
          <w:lang w:val="fr-FR"/>
        </w:rPr>
      </w:pPr>
      <w:r w:rsidRPr="00873F20">
        <w:rPr>
          <w:rFonts w:ascii="Arial" w:eastAsia="Times New Roman" w:hAnsi="Arial" w:cs="Arial"/>
          <w:b/>
          <w:lang w:val="fr-FR"/>
        </w:rPr>
        <w:t>Lituanie</w:t>
      </w:r>
      <w:r w:rsidRPr="00873F20">
        <w:rPr>
          <w:rFonts w:ascii="Arial" w:eastAsia="Times New Roman" w:hAnsi="Arial" w:cs="Arial"/>
          <w:lang w:val="fr-FR"/>
        </w:rPr>
        <w:t xml:space="preserve"> – effectif confirmé de 1 250 à 1 300 hommes </w:t>
      </w:r>
      <w:r w:rsidR="009E439C">
        <w:rPr>
          <w:rFonts w:ascii="Arial" w:eastAsia="Times New Roman" w:hAnsi="Arial" w:cs="Arial"/>
          <w:lang w:val="fr-FR"/>
        </w:rPr>
        <w:t xml:space="preserve">et femmes </w:t>
      </w:r>
      <w:r w:rsidRPr="00873F20">
        <w:rPr>
          <w:rFonts w:ascii="Arial" w:eastAsia="Times New Roman" w:hAnsi="Arial" w:cs="Arial"/>
          <w:lang w:val="fr-FR"/>
        </w:rPr>
        <w:t>(600 pour l’Allemagne, 200 pour la Norvège, 150 pour la Croatie, 150 pour la Belgique, entre 100 et 150 pour les Pa</w:t>
      </w:r>
      <w:r w:rsidR="00F512C9" w:rsidRPr="00873F20">
        <w:rPr>
          <w:rFonts w:ascii="Arial" w:eastAsia="Times New Roman" w:hAnsi="Arial" w:cs="Arial"/>
          <w:lang w:val="fr-FR"/>
        </w:rPr>
        <w:t>ys-Bas et 50 pour le Luxembourg</w:t>
      </w:r>
      <w:r w:rsidRPr="00873F20">
        <w:rPr>
          <w:rFonts w:ascii="Arial" w:eastAsia="Times New Roman" w:hAnsi="Arial" w:cs="Arial"/>
          <w:lang w:val="fr-FR"/>
        </w:rPr>
        <w:t xml:space="preserve"> </w:t>
      </w:r>
      <w:r w:rsidR="00C77229">
        <w:rPr>
          <w:rFonts w:ascii="Arial" w:eastAsia="Times New Roman" w:hAnsi="Arial" w:cs="Arial"/>
          <w:lang w:val="fr-FR"/>
        </w:rPr>
        <w:t>[</w:t>
      </w:r>
      <w:r w:rsidR="00F512C9" w:rsidRPr="00873F20">
        <w:rPr>
          <w:rFonts w:ascii="Arial" w:eastAsia="Times New Roman" w:hAnsi="Arial" w:cs="Arial"/>
          <w:lang w:val="fr-FR"/>
        </w:rPr>
        <w:t>l</w:t>
      </w:r>
      <w:r w:rsidRPr="00873F20">
        <w:rPr>
          <w:rFonts w:ascii="Arial" w:eastAsia="Times New Roman" w:hAnsi="Arial" w:cs="Arial"/>
          <w:lang w:val="fr-FR"/>
        </w:rPr>
        <w:t xml:space="preserve">a France fournira un nombre encore non précisé d’hommes </w:t>
      </w:r>
      <w:r w:rsidR="009E439C">
        <w:rPr>
          <w:rFonts w:ascii="Arial" w:eastAsia="Times New Roman" w:hAnsi="Arial" w:cs="Arial"/>
          <w:lang w:val="fr-FR"/>
        </w:rPr>
        <w:t xml:space="preserve">et femmes </w:t>
      </w:r>
      <w:r w:rsidRPr="00873F20">
        <w:rPr>
          <w:rFonts w:ascii="Arial" w:eastAsia="Times New Roman" w:hAnsi="Arial" w:cs="Arial"/>
          <w:lang w:val="fr-FR"/>
        </w:rPr>
        <w:t>à la rotation de 2018</w:t>
      </w:r>
      <w:r w:rsidR="00C77229">
        <w:rPr>
          <w:rFonts w:ascii="Arial" w:eastAsia="Times New Roman" w:hAnsi="Arial" w:cs="Arial"/>
          <w:lang w:val="fr-FR"/>
        </w:rPr>
        <w:t>]</w:t>
      </w:r>
      <w:r w:rsidRPr="00873F20">
        <w:rPr>
          <w:rFonts w:ascii="Arial" w:eastAsia="Times New Roman" w:hAnsi="Arial" w:cs="Arial"/>
          <w:lang w:val="fr-FR"/>
        </w:rPr>
        <w:t>) ;</w:t>
      </w:r>
    </w:p>
    <w:p w14:paraId="0719E09B" w14:textId="77777777" w:rsidR="008C5607" w:rsidRPr="00873F20" w:rsidRDefault="008C5607" w:rsidP="004A1921"/>
    <w:p w14:paraId="77CAC71D" w14:textId="4D621E2A" w:rsidR="00675EEE" w:rsidRDefault="008C5607" w:rsidP="00825AB9">
      <w:pPr>
        <w:pStyle w:val="ListParagraph"/>
        <w:numPr>
          <w:ilvl w:val="0"/>
          <w:numId w:val="20"/>
        </w:numPr>
        <w:rPr>
          <w:rFonts w:ascii="Arial" w:eastAsia="Times New Roman" w:hAnsi="Arial" w:cs="Arial"/>
          <w:lang w:val="fr-FR"/>
        </w:rPr>
      </w:pPr>
      <w:r w:rsidRPr="00873F20">
        <w:rPr>
          <w:rFonts w:ascii="Arial" w:eastAsia="Times New Roman" w:hAnsi="Arial" w:cs="Arial"/>
          <w:b/>
          <w:lang w:val="fr-FR"/>
        </w:rPr>
        <w:t>Pologne</w:t>
      </w:r>
      <w:r w:rsidR="00675EEE">
        <w:rPr>
          <w:rFonts w:ascii="Arial" w:eastAsia="Times New Roman" w:hAnsi="Arial" w:cs="Arial"/>
          <w:lang w:val="fr-FR"/>
        </w:rPr>
        <w:t xml:space="preserve"> – effectif confirmé de 1 300 </w:t>
      </w:r>
      <w:r w:rsidRPr="00873F20">
        <w:rPr>
          <w:rFonts w:ascii="Arial" w:eastAsia="Times New Roman" w:hAnsi="Arial" w:cs="Arial"/>
          <w:lang w:val="fr-FR"/>
        </w:rPr>
        <w:t xml:space="preserve">hommes </w:t>
      </w:r>
      <w:r w:rsidR="009E439C">
        <w:rPr>
          <w:rFonts w:ascii="Arial" w:eastAsia="Times New Roman" w:hAnsi="Arial" w:cs="Arial"/>
          <w:lang w:val="fr-FR"/>
        </w:rPr>
        <w:t xml:space="preserve">et femmes </w:t>
      </w:r>
      <w:r w:rsidRPr="00873F20">
        <w:rPr>
          <w:rFonts w:ascii="Arial" w:eastAsia="Times New Roman" w:hAnsi="Arial" w:cs="Arial"/>
          <w:lang w:val="fr-FR"/>
        </w:rPr>
        <w:t>(1 000 pour les États-Unis, 150 pour le Royaume-Uni et 150 pour la Roumanie) (</w:t>
      </w:r>
      <w:proofErr w:type="spellStart"/>
      <w:r w:rsidRPr="00873F20">
        <w:rPr>
          <w:rFonts w:ascii="Arial" w:eastAsia="Times New Roman" w:hAnsi="Arial" w:cs="Arial"/>
          <w:lang w:val="fr-FR"/>
        </w:rPr>
        <w:t>Gotkowska</w:t>
      </w:r>
      <w:proofErr w:type="spellEnd"/>
      <w:r w:rsidRPr="00873F20">
        <w:rPr>
          <w:rFonts w:ascii="Arial" w:eastAsia="Times New Roman" w:hAnsi="Arial" w:cs="Arial"/>
          <w:lang w:val="fr-FR"/>
        </w:rPr>
        <w:t xml:space="preserve">, 2016, </w:t>
      </w:r>
      <w:proofErr w:type="spellStart"/>
      <w:r w:rsidRPr="00873F20">
        <w:rPr>
          <w:rFonts w:ascii="Arial" w:eastAsia="Times New Roman" w:hAnsi="Arial" w:cs="Arial"/>
          <w:lang w:val="fr-FR"/>
        </w:rPr>
        <w:t>Socor</w:t>
      </w:r>
      <w:proofErr w:type="spellEnd"/>
      <w:r w:rsidRPr="00873F20">
        <w:rPr>
          <w:rFonts w:ascii="Arial" w:eastAsia="Times New Roman" w:hAnsi="Arial" w:cs="Arial"/>
          <w:lang w:val="fr-FR"/>
        </w:rPr>
        <w:t>, 2016).</w:t>
      </w:r>
    </w:p>
    <w:p w14:paraId="308206BF" w14:textId="77777777" w:rsidR="00675EEE" w:rsidRPr="00675EEE" w:rsidRDefault="00675EEE" w:rsidP="00675EEE">
      <w:pPr>
        <w:pStyle w:val="ListParagraph"/>
        <w:rPr>
          <w:shd w:val="clear" w:color="auto" w:fill="FEFEFE"/>
          <w:lang w:val="fr-FR"/>
        </w:rPr>
      </w:pPr>
    </w:p>
    <w:p w14:paraId="0F5F7BE0" w14:textId="344C8D05" w:rsidR="00675EEE" w:rsidRPr="00963572" w:rsidRDefault="008C5607" w:rsidP="00825AB9">
      <w:pPr>
        <w:pStyle w:val="ListParagraph"/>
        <w:numPr>
          <w:ilvl w:val="0"/>
          <w:numId w:val="25"/>
        </w:numPr>
        <w:tabs>
          <w:tab w:val="left" w:pos="567"/>
        </w:tabs>
        <w:ind w:left="0" w:firstLine="0"/>
        <w:jc w:val="both"/>
        <w:rPr>
          <w:rFonts w:ascii="Arial" w:eastAsia="Times New Roman" w:hAnsi="Arial" w:cs="Arial"/>
          <w:lang w:val="fr-FR"/>
        </w:rPr>
      </w:pPr>
      <w:r w:rsidRPr="00963572">
        <w:rPr>
          <w:rFonts w:ascii="Arial" w:hAnsi="Arial" w:cs="Arial"/>
          <w:shd w:val="clear" w:color="auto" w:fill="FEFEFE"/>
          <w:lang w:val="fr-FR"/>
        </w:rPr>
        <w:t xml:space="preserve">Trop réduites pour contenir une attaque de grande envergure, ces forces joueront le rôle de fil déclencheur obligeant les autres États membres à se mobiliser en cas de conflit. </w:t>
      </w:r>
      <w:r w:rsidR="00A64B6D" w:rsidRPr="00963572">
        <w:rPr>
          <w:rFonts w:ascii="Arial" w:hAnsi="Arial" w:cs="Arial"/>
          <w:shd w:val="clear" w:color="auto" w:fill="FEFEFE"/>
          <w:lang w:val="fr-FR"/>
        </w:rPr>
        <w:t>Elles seront toutefois suffisamment équipées (voir plus haut) pour pouvoir faire face à d’éventuelles incursions russes de type hybride, comme celles que l’on a pu observer en Crimée et dans le Donbass en 2014 (</w:t>
      </w:r>
      <w:proofErr w:type="spellStart"/>
      <w:r w:rsidR="00A64B6D" w:rsidRPr="00963572">
        <w:rPr>
          <w:rFonts w:ascii="Arial" w:hAnsi="Arial" w:cs="Arial"/>
          <w:shd w:val="clear" w:color="auto" w:fill="FEFEFE"/>
          <w:lang w:val="fr-FR"/>
        </w:rPr>
        <w:t>Socor</w:t>
      </w:r>
      <w:proofErr w:type="spellEnd"/>
      <w:r w:rsidR="00A64B6D" w:rsidRPr="00963572">
        <w:rPr>
          <w:rFonts w:ascii="Arial" w:hAnsi="Arial" w:cs="Arial"/>
          <w:shd w:val="clear" w:color="auto" w:fill="FEFEFE"/>
          <w:lang w:val="fr-FR"/>
        </w:rPr>
        <w:t>, 2016).</w:t>
      </w:r>
    </w:p>
    <w:p w14:paraId="0F598821" w14:textId="77777777" w:rsidR="00675EEE" w:rsidRPr="00675EEE" w:rsidRDefault="00675EEE" w:rsidP="00675EEE">
      <w:pPr>
        <w:rPr>
          <w:shd w:val="clear" w:color="auto" w:fill="FEFEFE"/>
        </w:rPr>
      </w:pPr>
    </w:p>
    <w:p w14:paraId="682A0768" w14:textId="596E243F" w:rsidR="00675EEE" w:rsidRPr="00963572" w:rsidRDefault="00A64B6D" w:rsidP="00825AB9">
      <w:pPr>
        <w:pStyle w:val="ListParagraph"/>
        <w:numPr>
          <w:ilvl w:val="0"/>
          <w:numId w:val="25"/>
        </w:numPr>
        <w:tabs>
          <w:tab w:val="left" w:pos="567"/>
        </w:tabs>
        <w:ind w:left="0" w:firstLine="0"/>
        <w:jc w:val="both"/>
        <w:rPr>
          <w:rFonts w:ascii="Arial" w:hAnsi="Arial" w:cs="Arial"/>
          <w:shd w:val="clear" w:color="auto" w:fill="FEFEFE"/>
          <w:lang w:val="fr-FR"/>
        </w:rPr>
      </w:pPr>
      <w:r w:rsidRPr="00963572">
        <w:rPr>
          <w:rFonts w:ascii="Arial" w:hAnsi="Arial" w:cs="Arial"/>
          <w:shd w:val="clear" w:color="auto" w:fill="FEFEFE"/>
          <w:lang w:val="fr-FR"/>
        </w:rPr>
        <w:t xml:space="preserve">À côté de ce renforcement de la présence avancée, la République tchèque, la Slovaquie et la Hongrie devraient mettre </w:t>
      </w:r>
      <w:r w:rsidR="00555535" w:rsidRPr="00963572">
        <w:rPr>
          <w:rFonts w:ascii="Arial" w:hAnsi="Arial" w:cs="Arial"/>
          <w:shd w:val="clear" w:color="auto" w:fill="FEFEFE"/>
          <w:lang w:val="fr-FR"/>
        </w:rPr>
        <w:t xml:space="preserve">chacune </w:t>
      </w:r>
      <w:r w:rsidRPr="00963572">
        <w:rPr>
          <w:rFonts w:ascii="Arial" w:hAnsi="Arial" w:cs="Arial"/>
          <w:shd w:val="clear" w:color="auto" w:fill="FEFEFE"/>
          <w:lang w:val="fr-FR"/>
        </w:rPr>
        <w:t xml:space="preserve">à disposition une compagnie, lesquelles stationneraient </w:t>
      </w:r>
      <w:r w:rsidR="009E439C">
        <w:rPr>
          <w:rFonts w:ascii="Arial" w:hAnsi="Arial" w:cs="Arial"/>
          <w:shd w:val="clear" w:color="auto" w:fill="FEFEFE"/>
          <w:lang w:val="fr-FR"/>
        </w:rPr>
        <w:t>par</w:t>
      </w:r>
      <w:r w:rsidRPr="00963572">
        <w:rPr>
          <w:rFonts w:ascii="Arial" w:hAnsi="Arial" w:cs="Arial"/>
          <w:shd w:val="clear" w:color="auto" w:fill="FEFEFE"/>
          <w:lang w:val="fr-FR"/>
        </w:rPr>
        <w:t xml:space="preserve"> rotation en Estonie, en Lettonie et en Lituanie respectivement (</w:t>
      </w:r>
      <w:proofErr w:type="spellStart"/>
      <w:r w:rsidRPr="00963572">
        <w:rPr>
          <w:rFonts w:ascii="Arial" w:hAnsi="Arial" w:cs="Arial"/>
          <w:shd w:val="clear" w:color="auto" w:fill="FEFEFE"/>
          <w:lang w:val="fr-FR"/>
        </w:rPr>
        <w:t>Gotkowska</w:t>
      </w:r>
      <w:proofErr w:type="spellEnd"/>
      <w:r w:rsidRPr="00963572">
        <w:rPr>
          <w:rFonts w:ascii="Arial" w:hAnsi="Arial" w:cs="Arial"/>
          <w:shd w:val="clear" w:color="auto" w:fill="FEFEFE"/>
          <w:lang w:val="fr-FR"/>
        </w:rPr>
        <w:t>, 2016). La Roumanie a également pris l’initiative de mettre sur pied une br</w:t>
      </w:r>
      <w:r w:rsidR="00F96463">
        <w:rPr>
          <w:rFonts w:ascii="Arial" w:hAnsi="Arial" w:cs="Arial"/>
          <w:shd w:val="clear" w:color="auto" w:fill="FEFEFE"/>
          <w:lang w:val="fr-FR"/>
        </w:rPr>
        <w:t>igade-</w:t>
      </w:r>
      <w:r w:rsidRPr="00963572">
        <w:rPr>
          <w:rFonts w:ascii="Arial" w:hAnsi="Arial" w:cs="Arial"/>
          <w:shd w:val="clear" w:color="auto" w:fill="FEFEFE"/>
          <w:lang w:val="fr-FR"/>
        </w:rPr>
        <w:t xml:space="preserve">cadre multinationale pour la région de la mer Noire, qui relèvera de la division multinationale </w:t>
      </w:r>
      <w:r w:rsidR="00F96463" w:rsidRPr="00963572">
        <w:rPr>
          <w:rFonts w:ascii="Arial" w:hAnsi="Arial" w:cs="Arial"/>
          <w:shd w:val="clear" w:color="auto" w:fill="FEFEFE"/>
          <w:lang w:val="fr-FR"/>
        </w:rPr>
        <w:t xml:space="preserve">sud-est </w:t>
      </w:r>
      <w:r w:rsidRPr="00963572">
        <w:rPr>
          <w:rFonts w:ascii="Arial" w:hAnsi="Arial" w:cs="Arial"/>
          <w:shd w:val="clear" w:color="auto" w:fill="FEFEFE"/>
          <w:lang w:val="fr-FR"/>
        </w:rPr>
        <w:t>(voir ci-dessus). La Pologne et la B</w:t>
      </w:r>
      <w:r w:rsidR="0038588C" w:rsidRPr="00963572">
        <w:rPr>
          <w:rFonts w:ascii="Arial" w:hAnsi="Arial" w:cs="Arial"/>
          <w:shd w:val="clear" w:color="auto" w:fill="FEFEFE"/>
          <w:lang w:val="fr-FR"/>
        </w:rPr>
        <w:t>u</w:t>
      </w:r>
      <w:r w:rsidRPr="00963572">
        <w:rPr>
          <w:rFonts w:ascii="Arial" w:hAnsi="Arial" w:cs="Arial"/>
          <w:shd w:val="clear" w:color="auto" w:fill="FEFEFE"/>
          <w:lang w:val="fr-FR"/>
        </w:rPr>
        <w:t xml:space="preserve">lgarie ont déjà fait part de leur intention de fournir des troupes à cette brigade </w:t>
      </w:r>
      <w:r w:rsidRPr="00963572">
        <w:rPr>
          <w:rFonts w:ascii="Arial" w:hAnsi="Arial" w:cs="Arial"/>
          <w:shd w:val="clear" w:color="auto" w:fill="FFFFFF"/>
          <w:lang w:val="fr-FR"/>
        </w:rPr>
        <w:t>(</w:t>
      </w:r>
      <w:r w:rsidR="00555535" w:rsidRPr="00963572">
        <w:rPr>
          <w:rFonts w:ascii="Arial" w:hAnsi="Arial" w:cs="Arial"/>
          <w:shd w:val="clear" w:color="auto" w:fill="FFFFFF"/>
          <w:lang w:val="fr-FR"/>
        </w:rPr>
        <w:t>NATO</w:t>
      </w:r>
      <w:r w:rsidRPr="00963572">
        <w:rPr>
          <w:rFonts w:ascii="Arial" w:hAnsi="Arial" w:cs="Arial"/>
          <w:shd w:val="clear" w:color="auto" w:fill="FFFFFF"/>
          <w:lang w:val="fr-FR"/>
        </w:rPr>
        <w:t xml:space="preserve">(a), 2016, </w:t>
      </w:r>
      <w:r w:rsidR="00555535" w:rsidRPr="009E439C">
        <w:rPr>
          <w:rFonts w:ascii="Arial" w:hAnsi="Arial" w:cs="Arial"/>
          <w:i/>
          <w:shd w:val="clear" w:color="auto" w:fill="FFFFFF"/>
          <w:lang w:val="fr-FR"/>
        </w:rPr>
        <w:t xml:space="preserve">Ministry of National </w:t>
      </w:r>
      <w:proofErr w:type="spellStart"/>
      <w:r w:rsidR="00555535" w:rsidRPr="009E439C">
        <w:rPr>
          <w:rFonts w:ascii="Arial" w:hAnsi="Arial" w:cs="Arial"/>
          <w:i/>
          <w:shd w:val="clear" w:color="auto" w:fill="FFFFFF"/>
          <w:lang w:val="fr-FR"/>
        </w:rPr>
        <w:t>Defence</w:t>
      </w:r>
      <w:proofErr w:type="spellEnd"/>
      <w:r w:rsidR="00555535" w:rsidRPr="009E439C">
        <w:rPr>
          <w:rFonts w:ascii="Arial" w:hAnsi="Arial" w:cs="Arial"/>
          <w:i/>
          <w:shd w:val="clear" w:color="auto" w:fill="FFFFFF"/>
          <w:lang w:val="fr-FR"/>
        </w:rPr>
        <w:t xml:space="preserve"> of Romania</w:t>
      </w:r>
      <w:r w:rsidRPr="00963572">
        <w:rPr>
          <w:rFonts w:ascii="Arial" w:hAnsi="Arial" w:cs="Arial"/>
          <w:shd w:val="clear" w:color="auto" w:fill="FFFFFF"/>
          <w:lang w:val="fr-FR"/>
        </w:rPr>
        <w:t xml:space="preserve">, 2016, </w:t>
      </w:r>
      <w:proofErr w:type="spellStart"/>
      <w:r w:rsidRPr="00963572">
        <w:rPr>
          <w:rFonts w:ascii="Arial" w:hAnsi="Arial" w:cs="Arial"/>
          <w:shd w:val="clear" w:color="auto" w:fill="FFFFFF"/>
          <w:lang w:val="fr-FR"/>
        </w:rPr>
        <w:t>Gotkowska</w:t>
      </w:r>
      <w:proofErr w:type="spellEnd"/>
      <w:r w:rsidRPr="00963572">
        <w:rPr>
          <w:rFonts w:ascii="Arial" w:hAnsi="Arial" w:cs="Arial"/>
          <w:shd w:val="clear" w:color="auto" w:fill="FFFFFF"/>
          <w:lang w:val="fr-FR"/>
        </w:rPr>
        <w:t>, 2016).</w:t>
      </w:r>
    </w:p>
    <w:p w14:paraId="07B94C6E" w14:textId="77777777" w:rsidR="00675EEE" w:rsidRPr="00675EEE" w:rsidRDefault="00675EEE" w:rsidP="004A1921">
      <w:pPr>
        <w:rPr>
          <w:shd w:val="clear" w:color="auto" w:fill="FFFFFF"/>
        </w:rPr>
      </w:pPr>
    </w:p>
    <w:p w14:paraId="281AE2A0" w14:textId="052F8D03" w:rsidR="004A1921" w:rsidRPr="00675EEE" w:rsidRDefault="00A64B6D" w:rsidP="00825AB9">
      <w:pPr>
        <w:pStyle w:val="ListParagraph"/>
        <w:numPr>
          <w:ilvl w:val="0"/>
          <w:numId w:val="25"/>
        </w:numPr>
        <w:tabs>
          <w:tab w:val="left" w:pos="567"/>
        </w:tabs>
        <w:ind w:left="0" w:firstLine="0"/>
        <w:jc w:val="both"/>
        <w:rPr>
          <w:rFonts w:ascii="Arial" w:hAnsi="Arial" w:cs="Arial"/>
          <w:shd w:val="clear" w:color="auto" w:fill="FFFFFF"/>
          <w:lang w:val="fr-FR"/>
        </w:rPr>
      </w:pPr>
      <w:r w:rsidRPr="00963572">
        <w:rPr>
          <w:rFonts w:ascii="Arial" w:hAnsi="Arial" w:cs="Arial"/>
          <w:lang w:val="fr-FR"/>
        </w:rPr>
        <w:t xml:space="preserve">Le déploiement </w:t>
      </w:r>
      <w:r w:rsidR="00555535" w:rsidRPr="00963572">
        <w:rPr>
          <w:rFonts w:ascii="Arial" w:hAnsi="Arial" w:cs="Arial"/>
          <w:lang w:val="fr-FR"/>
        </w:rPr>
        <w:t>des</w:t>
      </w:r>
      <w:r w:rsidRPr="00963572">
        <w:rPr>
          <w:rFonts w:ascii="Arial" w:hAnsi="Arial" w:cs="Arial"/>
          <w:lang w:val="fr-FR"/>
        </w:rPr>
        <w:t xml:space="preserve"> nouveaux groupements tactiques </w:t>
      </w:r>
      <w:r w:rsidR="00887D97" w:rsidRPr="00963572">
        <w:rPr>
          <w:rFonts w:ascii="Arial" w:hAnsi="Arial" w:cs="Arial"/>
          <w:lang w:val="fr-FR"/>
        </w:rPr>
        <w:t>dans la région de la B</w:t>
      </w:r>
      <w:r w:rsidRPr="00963572">
        <w:rPr>
          <w:rFonts w:ascii="Arial" w:hAnsi="Arial" w:cs="Arial"/>
          <w:lang w:val="fr-FR"/>
        </w:rPr>
        <w:t xml:space="preserve">altique est prévu pour mai 2017. </w:t>
      </w:r>
      <w:r w:rsidRPr="00675EEE">
        <w:rPr>
          <w:rFonts w:ascii="Arial" w:hAnsi="Arial" w:cs="Arial"/>
          <w:lang w:val="fr-FR"/>
        </w:rPr>
        <w:t xml:space="preserve">La configuration précise de ces groupes est toujours à l’examen, et les arrangements logistiques </w:t>
      </w:r>
      <w:r w:rsidR="0038588C" w:rsidRPr="00675EEE">
        <w:rPr>
          <w:rFonts w:ascii="Arial" w:hAnsi="Arial" w:cs="Arial"/>
          <w:lang w:val="fr-FR"/>
        </w:rPr>
        <w:t>définitifs</w:t>
      </w:r>
      <w:r w:rsidR="00675EEE" w:rsidRPr="00675EEE">
        <w:rPr>
          <w:rFonts w:ascii="Arial" w:hAnsi="Arial" w:cs="Arial"/>
          <w:lang w:val="fr-FR"/>
        </w:rPr>
        <w:t xml:space="preserve"> dev</w:t>
      </w:r>
      <w:r w:rsidR="009E439C">
        <w:rPr>
          <w:rFonts w:ascii="Arial" w:hAnsi="Arial" w:cs="Arial"/>
          <w:lang w:val="fr-FR"/>
        </w:rPr>
        <w:t xml:space="preserve">aient </w:t>
      </w:r>
      <w:r w:rsidRPr="00675EEE">
        <w:rPr>
          <w:rFonts w:ascii="Arial" w:hAnsi="Arial" w:cs="Arial"/>
          <w:lang w:val="fr-FR"/>
        </w:rPr>
        <w:t xml:space="preserve">être confirmés lors de la réunion des ministres de la Défense qui </w:t>
      </w:r>
      <w:r w:rsidR="00675EEE">
        <w:rPr>
          <w:rFonts w:ascii="Arial" w:hAnsi="Arial" w:cs="Arial"/>
          <w:lang w:val="fr-FR"/>
        </w:rPr>
        <w:t>s'est tenue</w:t>
      </w:r>
      <w:r w:rsidRPr="00675EEE">
        <w:rPr>
          <w:rFonts w:ascii="Arial" w:hAnsi="Arial" w:cs="Arial"/>
          <w:lang w:val="fr-FR"/>
        </w:rPr>
        <w:t xml:space="preserve"> à Bruxelles en octobre 2016.</w:t>
      </w:r>
    </w:p>
    <w:p w14:paraId="2A74E5E0" w14:textId="77777777" w:rsidR="004A1921" w:rsidRPr="00873F20" w:rsidRDefault="004A1921" w:rsidP="004A1921"/>
    <w:p w14:paraId="2B133074" w14:textId="16A439D5" w:rsidR="00D55FEA" w:rsidRPr="00873F20" w:rsidRDefault="00675EEE" w:rsidP="00675EEE">
      <w:pPr>
        <w:pStyle w:val="Heading2"/>
        <w:numPr>
          <w:ilvl w:val="0"/>
          <w:numId w:val="0"/>
        </w:numPr>
        <w:ind w:left="1134" w:hanging="567"/>
      </w:pPr>
      <w:bookmarkStart w:id="14" w:name="_Toc464810721"/>
      <w:r>
        <w:t>C.</w:t>
      </w:r>
      <w:r>
        <w:tab/>
        <w:t>L</w:t>
      </w:r>
      <w:r w:rsidR="00D55FEA" w:rsidRPr="00873F20">
        <w:t xml:space="preserve">’engagement </w:t>
      </w:r>
      <w:r w:rsidR="007D348B" w:rsidRPr="00873F20">
        <w:t xml:space="preserve">« DES 2 ET DES 20 » </w:t>
      </w:r>
      <w:r w:rsidR="00D55FEA" w:rsidRPr="00873F20">
        <w:t>en mati</w:t>
      </w:r>
      <w:r w:rsidR="00D859A6" w:rsidRPr="00873F20">
        <w:t>È</w:t>
      </w:r>
      <w:r w:rsidR="00D55FEA" w:rsidRPr="00873F20">
        <w:t>re de d</w:t>
      </w:r>
      <w:r w:rsidR="00D859A6" w:rsidRPr="00873F20">
        <w:t>É</w:t>
      </w:r>
      <w:r w:rsidR="00D55FEA" w:rsidRPr="00873F20">
        <w:t>penses de d</w:t>
      </w:r>
      <w:r w:rsidR="00D859A6" w:rsidRPr="00873F20">
        <w:t>É</w:t>
      </w:r>
      <w:r w:rsidR="00D55FEA" w:rsidRPr="00873F20">
        <w:t>fens</w:t>
      </w:r>
      <w:r w:rsidR="00555535" w:rsidRPr="00873F20">
        <w:t>E</w:t>
      </w:r>
      <w:bookmarkEnd w:id="14"/>
    </w:p>
    <w:p w14:paraId="1A368A6A" w14:textId="77777777" w:rsidR="0027223A" w:rsidRPr="00873F20" w:rsidRDefault="0027223A" w:rsidP="0027223A"/>
    <w:p w14:paraId="3EF85205" w14:textId="57B9906B" w:rsidR="00873F20"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 xml:space="preserve">Comme indiqué plus haut, la mission de l’OTAN ne pourra être crédible, </w:t>
      </w:r>
      <w:r w:rsidR="00555535" w:rsidRPr="00675EEE">
        <w:rPr>
          <w:rFonts w:ascii="Arial" w:hAnsi="Arial" w:cs="Arial"/>
          <w:lang w:val="fr-FR"/>
        </w:rPr>
        <w:t>faisable</w:t>
      </w:r>
      <w:r w:rsidRPr="00675EEE">
        <w:rPr>
          <w:rFonts w:ascii="Arial" w:hAnsi="Arial" w:cs="Arial"/>
          <w:lang w:val="fr-FR"/>
        </w:rPr>
        <w:t xml:space="preserve"> et soutenable que si les secteurs de la défense de ses </w:t>
      </w:r>
      <w:r w:rsidR="0027223A" w:rsidRPr="00675EEE">
        <w:rPr>
          <w:rFonts w:ascii="Arial" w:hAnsi="Arial" w:cs="Arial"/>
          <w:lang w:val="fr-FR"/>
        </w:rPr>
        <w:t>États</w:t>
      </w:r>
      <w:r w:rsidRPr="00675EEE">
        <w:rPr>
          <w:rFonts w:ascii="Arial" w:hAnsi="Arial" w:cs="Arial"/>
          <w:lang w:val="fr-FR"/>
        </w:rPr>
        <w:t xml:space="preserve"> membres s’améliorent en termes qualitatifs et quantitatifs. </w:t>
      </w:r>
      <w:r w:rsidRPr="00963572">
        <w:rPr>
          <w:rFonts w:ascii="Arial" w:hAnsi="Arial" w:cs="Arial"/>
          <w:lang w:val="fr-FR"/>
        </w:rPr>
        <w:t xml:space="preserve">Pour que le niveau voulu de préparation au combat puisse être </w:t>
      </w:r>
      <w:r w:rsidR="00407B62" w:rsidRPr="00963572">
        <w:rPr>
          <w:rFonts w:ascii="Arial" w:hAnsi="Arial" w:cs="Arial"/>
          <w:lang w:val="fr-FR"/>
        </w:rPr>
        <w:t>atteint</w:t>
      </w:r>
      <w:r w:rsidRPr="00963572">
        <w:rPr>
          <w:rFonts w:ascii="Arial" w:hAnsi="Arial" w:cs="Arial"/>
          <w:lang w:val="fr-FR"/>
        </w:rPr>
        <w:t xml:space="preserve">, les </w:t>
      </w:r>
      <w:r w:rsidR="0027223A" w:rsidRPr="00963572">
        <w:rPr>
          <w:rFonts w:ascii="Arial" w:hAnsi="Arial" w:cs="Arial"/>
          <w:lang w:val="fr-FR"/>
        </w:rPr>
        <w:t>États</w:t>
      </w:r>
      <w:r w:rsidRPr="00963572">
        <w:rPr>
          <w:rFonts w:ascii="Arial" w:hAnsi="Arial" w:cs="Arial"/>
          <w:lang w:val="fr-FR"/>
        </w:rPr>
        <w:t xml:space="preserve"> membres doivent investir à la fois dans l’acquisition de matériels lourds et d’éléments facilitateurs cruciaux – moyens ISR, C2, communications, systèmes de défense aérienne, transport lourd et ravitaillement en vol, notamment.</w:t>
      </w:r>
    </w:p>
    <w:p w14:paraId="00EBED48" w14:textId="77777777" w:rsidR="00873F20" w:rsidRPr="00675EEE" w:rsidRDefault="00873F20" w:rsidP="00675EEE"/>
    <w:p w14:paraId="552037AB" w14:textId="75AA5DA1" w:rsidR="00983CE6"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On a vu plus haut que les chefs de gouvernement de l’OTAN étaient convenus d’inverser le déclin des dépenses de défense entamé il y a une dizaine d’années, et de faire en sorte que ces chiffres se rapprochent des 2 % du PIB, soit l’objectif défini pour la décennie 2014-2024. </w:t>
      </w:r>
      <w:r w:rsidR="00630E03" w:rsidRPr="00675EEE">
        <w:rPr>
          <w:rFonts w:ascii="Arial" w:hAnsi="Arial" w:cs="Arial"/>
          <w:lang w:val="fr-FR"/>
        </w:rPr>
        <w:t>À ce jour</w:t>
      </w:r>
      <w:r w:rsidRPr="00675EEE">
        <w:rPr>
          <w:rFonts w:ascii="Arial" w:hAnsi="Arial" w:cs="Arial"/>
          <w:lang w:val="fr-FR"/>
        </w:rPr>
        <w:t xml:space="preserve">, cinq membres de l’OTAN seulement </w:t>
      </w:r>
      <w:r w:rsidR="00407B62" w:rsidRPr="00675EEE">
        <w:rPr>
          <w:rFonts w:ascii="Arial" w:hAnsi="Arial" w:cs="Arial"/>
          <w:lang w:val="fr-FR"/>
        </w:rPr>
        <w:t>se sont</w:t>
      </w:r>
      <w:r w:rsidRPr="00675EEE">
        <w:rPr>
          <w:rFonts w:ascii="Arial" w:hAnsi="Arial" w:cs="Arial"/>
          <w:lang w:val="fr-FR"/>
        </w:rPr>
        <w:t xml:space="preserve"> conformés à cette obligation, à savoir les États-Unis (3,6</w:t>
      </w:r>
      <w:r w:rsidR="00407B62" w:rsidRPr="00675EEE">
        <w:rPr>
          <w:rFonts w:ascii="Arial" w:hAnsi="Arial" w:cs="Arial"/>
          <w:lang w:val="fr-FR"/>
        </w:rPr>
        <w:t>1</w:t>
      </w:r>
      <w:r w:rsidRPr="00675EEE">
        <w:rPr>
          <w:rFonts w:ascii="Arial" w:hAnsi="Arial" w:cs="Arial"/>
          <w:lang w:val="fr-FR"/>
        </w:rPr>
        <w:t> %), la Grèce (2</w:t>
      </w:r>
      <w:r w:rsidR="00407B62" w:rsidRPr="00675EEE">
        <w:rPr>
          <w:rFonts w:ascii="Arial" w:hAnsi="Arial" w:cs="Arial"/>
          <w:lang w:val="fr-FR"/>
        </w:rPr>
        <w:t>,38</w:t>
      </w:r>
      <w:r w:rsidRPr="00675EEE">
        <w:rPr>
          <w:rFonts w:ascii="Arial" w:hAnsi="Arial" w:cs="Arial"/>
          <w:lang w:val="fr-FR"/>
        </w:rPr>
        <w:t xml:space="preserve"> %), </w:t>
      </w:r>
      <w:r w:rsidR="00407B62" w:rsidRPr="00675EEE">
        <w:rPr>
          <w:rFonts w:ascii="Arial" w:hAnsi="Arial" w:cs="Arial"/>
          <w:lang w:val="fr-FR"/>
        </w:rPr>
        <w:t>le Royaume-Uni (2,21 %), l’Est</w:t>
      </w:r>
      <w:r w:rsidR="00675EEE" w:rsidRPr="00675EEE">
        <w:rPr>
          <w:rFonts w:ascii="Arial" w:hAnsi="Arial" w:cs="Arial"/>
          <w:lang w:val="fr-FR"/>
        </w:rPr>
        <w:t>onie (2,16 %) et la Pologne (2</w:t>
      </w:r>
      <w:r w:rsidR="00407B62" w:rsidRPr="00675EEE">
        <w:rPr>
          <w:rFonts w:ascii="Arial" w:hAnsi="Arial" w:cs="Arial"/>
          <w:lang w:val="fr-FR"/>
        </w:rPr>
        <w:t> %).</w:t>
      </w:r>
      <w:r w:rsidRPr="00675EEE">
        <w:rPr>
          <w:rFonts w:ascii="Arial" w:hAnsi="Arial" w:cs="Arial"/>
          <w:lang w:val="fr-FR"/>
        </w:rPr>
        <w:t xml:space="preserve"> </w:t>
      </w:r>
      <w:r w:rsidR="00407B62" w:rsidRPr="00675EEE">
        <w:rPr>
          <w:rFonts w:ascii="Arial" w:hAnsi="Arial" w:cs="Arial"/>
          <w:lang w:val="fr-FR"/>
        </w:rPr>
        <w:t xml:space="preserve">Par contre, et c’est là un point positif, </w:t>
      </w:r>
      <w:r w:rsidRPr="00675EEE">
        <w:rPr>
          <w:rFonts w:ascii="Arial" w:hAnsi="Arial" w:cs="Arial"/>
          <w:lang w:val="fr-FR"/>
        </w:rPr>
        <w:t xml:space="preserve">la reprise récente des dépenses de défense </w:t>
      </w:r>
      <w:r w:rsidR="00407B62" w:rsidRPr="00675EEE">
        <w:rPr>
          <w:rFonts w:ascii="Arial" w:hAnsi="Arial" w:cs="Arial"/>
          <w:lang w:val="fr-FR"/>
        </w:rPr>
        <w:t xml:space="preserve">dans de nombreux pays de l’OTAN s’est traduite par une remontée des dépenses globales à l’échelle de </w:t>
      </w:r>
      <w:r w:rsidR="00675EEE">
        <w:rPr>
          <w:rFonts w:ascii="Arial" w:hAnsi="Arial" w:cs="Arial"/>
          <w:lang w:val="fr-FR"/>
        </w:rPr>
        <w:t xml:space="preserve">l’OTAN, qui sont passées de 892 </w:t>
      </w:r>
      <w:r w:rsidR="00407B62" w:rsidRPr="00675EEE">
        <w:rPr>
          <w:rFonts w:ascii="Arial" w:hAnsi="Arial" w:cs="Arial"/>
          <w:lang w:val="fr-FR"/>
        </w:rPr>
        <w:t>112 milli</w:t>
      </w:r>
      <w:r w:rsidR="00675EEE" w:rsidRPr="00675EEE">
        <w:rPr>
          <w:rFonts w:ascii="Arial" w:hAnsi="Arial" w:cs="Arial"/>
          <w:lang w:val="fr-FR"/>
        </w:rPr>
        <w:t>ons</w:t>
      </w:r>
      <w:r w:rsidR="00407B62" w:rsidRPr="00675EEE">
        <w:rPr>
          <w:rFonts w:ascii="Arial" w:hAnsi="Arial" w:cs="Arial"/>
          <w:lang w:val="fr-FR"/>
        </w:rPr>
        <w:t xml:space="preserve"> </w:t>
      </w:r>
      <w:r w:rsidR="00774831" w:rsidRPr="00675EEE">
        <w:rPr>
          <w:rFonts w:ascii="Arial" w:hAnsi="Arial" w:cs="Arial"/>
          <w:lang w:val="fr-FR"/>
        </w:rPr>
        <w:t>de dollars</w:t>
      </w:r>
      <w:r w:rsidR="00675EEE">
        <w:rPr>
          <w:rFonts w:ascii="Arial" w:hAnsi="Arial" w:cs="Arial"/>
          <w:lang w:val="fr-FR"/>
        </w:rPr>
        <w:t xml:space="preserve"> en 2015 à 918 298 million</w:t>
      </w:r>
      <w:r w:rsidR="00407B62" w:rsidRPr="00675EEE">
        <w:rPr>
          <w:rFonts w:ascii="Arial" w:hAnsi="Arial" w:cs="Arial"/>
          <w:lang w:val="fr-FR"/>
        </w:rPr>
        <w:t xml:space="preserve">s en 2016, montant restant toutefois inférieur aux </w:t>
      </w:r>
      <w:r w:rsidR="00734789" w:rsidRPr="00675EEE">
        <w:rPr>
          <w:rFonts w:ascii="Arial" w:hAnsi="Arial" w:cs="Arial"/>
          <w:lang w:val="fr-FR"/>
        </w:rPr>
        <w:t>942</w:t>
      </w:r>
      <w:r w:rsidR="00675EEE">
        <w:rPr>
          <w:rFonts w:ascii="Arial" w:hAnsi="Arial" w:cs="Arial"/>
          <w:lang w:val="fr-FR"/>
        </w:rPr>
        <w:t xml:space="preserve"> </w:t>
      </w:r>
      <w:r w:rsidR="00734789" w:rsidRPr="00675EEE">
        <w:rPr>
          <w:rFonts w:ascii="Arial" w:hAnsi="Arial" w:cs="Arial"/>
          <w:lang w:val="fr-FR"/>
        </w:rPr>
        <w:t xml:space="preserve">820 </w:t>
      </w:r>
      <w:r w:rsidR="00675EEE">
        <w:rPr>
          <w:rFonts w:ascii="Arial" w:hAnsi="Arial" w:cs="Arial"/>
          <w:lang w:val="fr-FR"/>
        </w:rPr>
        <w:t>million</w:t>
      </w:r>
      <w:r w:rsidR="00407B62" w:rsidRPr="00675EEE">
        <w:rPr>
          <w:rFonts w:ascii="Arial" w:hAnsi="Arial" w:cs="Arial"/>
          <w:lang w:val="fr-FR"/>
        </w:rPr>
        <w:t xml:space="preserve">s dépensés </w:t>
      </w:r>
      <w:r w:rsidRPr="00675EEE">
        <w:rPr>
          <w:rFonts w:ascii="Arial" w:hAnsi="Arial" w:cs="Arial"/>
          <w:lang w:val="fr-FR"/>
        </w:rPr>
        <w:t xml:space="preserve">en 2014. </w:t>
      </w:r>
      <w:r w:rsidR="00407B62" w:rsidRPr="00963572">
        <w:rPr>
          <w:rFonts w:ascii="Arial" w:hAnsi="Arial" w:cs="Arial"/>
          <w:lang w:val="fr-FR"/>
        </w:rPr>
        <w:t>T</w:t>
      </w:r>
      <w:r w:rsidRPr="00963572">
        <w:rPr>
          <w:rFonts w:ascii="Arial" w:hAnsi="Arial" w:cs="Arial"/>
          <w:lang w:val="fr-FR"/>
        </w:rPr>
        <w:t xml:space="preserve">ous les Alliés, à l’exception de </w:t>
      </w:r>
      <w:r w:rsidR="00407B62" w:rsidRPr="00963572">
        <w:rPr>
          <w:rFonts w:ascii="Arial" w:hAnsi="Arial" w:cs="Arial"/>
          <w:lang w:val="fr-FR"/>
        </w:rPr>
        <w:t>cinq</w:t>
      </w:r>
      <w:r w:rsidRPr="00963572">
        <w:rPr>
          <w:rFonts w:ascii="Arial" w:hAnsi="Arial" w:cs="Arial"/>
          <w:lang w:val="fr-FR"/>
        </w:rPr>
        <w:t xml:space="preserve"> d’entre eux, </w:t>
      </w:r>
      <w:r w:rsidR="00407B62" w:rsidRPr="00963572">
        <w:rPr>
          <w:rFonts w:ascii="Arial" w:hAnsi="Arial" w:cs="Arial"/>
          <w:lang w:val="fr-FR"/>
        </w:rPr>
        <w:t>devraient revoir leurs dépenses de défense à la hausse cette année</w:t>
      </w:r>
      <w:r w:rsidR="00983CE6" w:rsidRPr="00963572">
        <w:rPr>
          <w:rFonts w:ascii="Arial" w:hAnsi="Arial" w:cs="Arial"/>
          <w:lang w:val="fr-FR"/>
        </w:rPr>
        <w:t>. C</w:t>
      </w:r>
      <w:r w:rsidRPr="00963572">
        <w:rPr>
          <w:rFonts w:ascii="Arial" w:hAnsi="Arial" w:cs="Arial"/>
          <w:lang w:val="fr-FR"/>
        </w:rPr>
        <w:t>ette évolution est particulièrement visible dans les pays se sentant directement menacés par une éventuelle agression russe, comme la L</w:t>
      </w:r>
      <w:r w:rsidR="00983CE6" w:rsidRPr="00963572">
        <w:rPr>
          <w:rFonts w:ascii="Arial" w:hAnsi="Arial" w:cs="Arial"/>
          <w:lang w:val="fr-FR"/>
        </w:rPr>
        <w:t xml:space="preserve">ettonie (42,31 %) et la Lituanie (34,13 %). La Pologne, qui avait </w:t>
      </w:r>
      <w:r w:rsidR="004133EC" w:rsidRPr="00963572">
        <w:rPr>
          <w:rFonts w:ascii="Arial" w:hAnsi="Arial" w:cs="Arial"/>
          <w:lang w:val="fr-FR"/>
        </w:rPr>
        <w:t xml:space="preserve">très fortement </w:t>
      </w:r>
      <w:r w:rsidR="00983CE6" w:rsidRPr="00963572">
        <w:rPr>
          <w:rFonts w:ascii="Arial" w:hAnsi="Arial" w:cs="Arial"/>
          <w:lang w:val="fr-FR"/>
        </w:rPr>
        <w:t xml:space="preserve">relevé ses dépenses de défense en 2015 (+ 21,7 %), devrait accuser une baisse de 7,8 % en 2016. </w:t>
      </w:r>
    </w:p>
    <w:p w14:paraId="57BCBF61" w14:textId="77777777" w:rsidR="00983CE6" w:rsidRPr="00675EEE" w:rsidRDefault="00983CE6" w:rsidP="00675EEE"/>
    <w:p w14:paraId="2EF692ED" w14:textId="1B002711" w:rsidR="00873F20" w:rsidRPr="00963572" w:rsidRDefault="00983CE6"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D</w:t>
      </w:r>
      <w:r w:rsidR="00D55FEA" w:rsidRPr="00963572">
        <w:rPr>
          <w:rFonts w:ascii="Arial" w:hAnsi="Arial" w:cs="Arial"/>
          <w:lang w:val="fr-FR"/>
        </w:rPr>
        <w:t xml:space="preserve">es augmentations significatives des dépenses ont également été enregistrées dans plusieurs </w:t>
      </w:r>
      <w:r w:rsidR="0027223A" w:rsidRPr="00963572">
        <w:rPr>
          <w:rFonts w:ascii="Arial" w:hAnsi="Arial" w:cs="Arial"/>
          <w:lang w:val="fr-FR"/>
        </w:rPr>
        <w:t>États</w:t>
      </w:r>
      <w:r w:rsidR="00D55FEA" w:rsidRPr="00963572">
        <w:rPr>
          <w:rFonts w:ascii="Arial" w:hAnsi="Arial" w:cs="Arial"/>
          <w:lang w:val="fr-FR"/>
        </w:rPr>
        <w:t xml:space="preserve"> membres situés plus à l’intérieur de l’Alliance, comme </w:t>
      </w:r>
      <w:r w:rsidRPr="00963572">
        <w:rPr>
          <w:rFonts w:ascii="Arial" w:hAnsi="Arial" w:cs="Arial"/>
          <w:lang w:val="fr-FR"/>
        </w:rPr>
        <w:t>l’Italie (10,63 %) et la Hongrie (9,33 %). On a également relevé des augmentations des dépenses de défense dans plusieurs grands États membres, comme le Royaume-Uni (7,44 %), l’Allemagne (2,08 %) et, dans une moindre mesure, la France (0,64 %) (</w:t>
      </w:r>
      <w:r w:rsidR="00630E03" w:rsidRPr="00963572">
        <w:rPr>
          <w:rFonts w:ascii="Arial" w:hAnsi="Arial" w:cs="Arial"/>
          <w:lang w:val="fr-FR"/>
        </w:rPr>
        <w:t>NATO</w:t>
      </w:r>
      <w:r w:rsidRPr="00963572">
        <w:rPr>
          <w:rFonts w:ascii="Arial" w:hAnsi="Arial" w:cs="Arial"/>
          <w:lang w:val="fr-FR"/>
        </w:rPr>
        <w:t xml:space="preserve">(d), 2016).  </w:t>
      </w:r>
    </w:p>
    <w:p w14:paraId="33735693" w14:textId="77777777" w:rsidR="00873F20" w:rsidRPr="00675EEE" w:rsidRDefault="00873F20" w:rsidP="00675EEE"/>
    <w:p w14:paraId="322E0644" w14:textId="6134F679" w:rsidR="00675EEE" w:rsidRPr="00675EEE" w:rsidRDefault="00D55FEA"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 xml:space="preserve">La </w:t>
      </w:r>
      <w:r w:rsidR="00675EEE" w:rsidRPr="00675EEE">
        <w:rPr>
          <w:rFonts w:ascii="Arial" w:hAnsi="Arial" w:cs="Arial"/>
          <w:lang w:val="fr-FR"/>
        </w:rPr>
        <w:t>barre</w:t>
      </w:r>
      <w:r w:rsidRPr="00675EEE">
        <w:rPr>
          <w:rFonts w:ascii="Arial" w:hAnsi="Arial" w:cs="Arial"/>
          <w:lang w:val="fr-FR"/>
        </w:rPr>
        <w:t xml:space="preserve"> des 20 % fixée pour les dépenses de défense des Alliés au titre des équipem</w:t>
      </w:r>
      <w:r w:rsidR="009E439C">
        <w:rPr>
          <w:rFonts w:ascii="Arial" w:hAnsi="Arial" w:cs="Arial"/>
          <w:lang w:val="fr-FR"/>
        </w:rPr>
        <w:t>ents majeurs et de la recherche-</w:t>
      </w:r>
      <w:r w:rsidRPr="00675EEE">
        <w:rPr>
          <w:rFonts w:ascii="Arial" w:hAnsi="Arial" w:cs="Arial"/>
          <w:lang w:val="fr-FR"/>
        </w:rPr>
        <w:t>développement n’a été atteint</w:t>
      </w:r>
      <w:r w:rsidR="00D45BE4" w:rsidRPr="00675EEE">
        <w:rPr>
          <w:rFonts w:ascii="Arial" w:hAnsi="Arial" w:cs="Arial"/>
          <w:lang w:val="fr-FR"/>
        </w:rPr>
        <w:t>e</w:t>
      </w:r>
      <w:r w:rsidR="00630E03" w:rsidRPr="00675EEE">
        <w:rPr>
          <w:rFonts w:ascii="Arial" w:hAnsi="Arial" w:cs="Arial"/>
          <w:lang w:val="fr-FR"/>
        </w:rPr>
        <w:t>, en 2016</w:t>
      </w:r>
      <w:r w:rsidRPr="00675EEE">
        <w:rPr>
          <w:rFonts w:ascii="Arial" w:hAnsi="Arial" w:cs="Arial"/>
          <w:lang w:val="fr-FR"/>
        </w:rPr>
        <w:t xml:space="preserve">, que par </w:t>
      </w:r>
      <w:r w:rsidR="00983CE6" w:rsidRPr="00675EEE">
        <w:rPr>
          <w:rFonts w:ascii="Arial" w:hAnsi="Arial" w:cs="Arial"/>
          <w:lang w:val="fr-FR"/>
        </w:rPr>
        <w:t xml:space="preserve">dix pays, à savoir le Luxembourg (32,82 %), la Lituanie (27,65 %), la Roumanie (26,13 %), la Pologne (25,79 %), la Norvège (25,60 %), les États-Unis (25,03 %), la France (24,51 %), la Turquie (23,58 %), le Royaume-Uni (23,41 %) et l’Italie (20,24 %).  </w:t>
      </w:r>
      <w:r w:rsidR="00F62366" w:rsidRPr="00963572">
        <w:rPr>
          <w:rFonts w:ascii="Arial" w:hAnsi="Arial" w:cs="Arial"/>
          <w:lang w:val="fr-FR"/>
        </w:rPr>
        <w:t>En fait</w:t>
      </w:r>
      <w:r w:rsidRPr="00963572">
        <w:rPr>
          <w:rFonts w:ascii="Arial" w:hAnsi="Arial" w:cs="Arial"/>
          <w:lang w:val="fr-FR"/>
        </w:rPr>
        <w:t xml:space="preserve">, six </w:t>
      </w:r>
      <w:r w:rsidR="0027223A" w:rsidRPr="00963572">
        <w:rPr>
          <w:rFonts w:ascii="Arial" w:hAnsi="Arial" w:cs="Arial"/>
          <w:lang w:val="fr-FR"/>
        </w:rPr>
        <w:t>États</w:t>
      </w:r>
      <w:r w:rsidRPr="00963572">
        <w:rPr>
          <w:rFonts w:ascii="Arial" w:hAnsi="Arial" w:cs="Arial"/>
          <w:lang w:val="fr-FR"/>
        </w:rPr>
        <w:t xml:space="preserve"> membres consacrent </w:t>
      </w:r>
      <w:r w:rsidR="00F62366" w:rsidRPr="00963572">
        <w:rPr>
          <w:rFonts w:ascii="Arial" w:hAnsi="Arial" w:cs="Arial"/>
          <w:lang w:val="fr-FR"/>
        </w:rPr>
        <w:t xml:space="preserve">aujourd’hui </w:t>
      </w:r>
      <w:r w:rsidRPr="00963572">
        <w:rPr>
          <w:rFonts w:ascii="Arial" w:hAnsi="Arial" w:cs="Arial"/>
          <w:lang w:val="fr-FR"/>
        </w:rPr>
        <w:t xml:space="preserve">moins de 10 % de leurs dépenses aux équipements, contre deux seulement en 2008. En raison de ces dépenses insuffisantes au titre des équipements, l’Alliance éprouve des difficultés à s’acquitter de sa mission actuelle, laquelle repose précisément sur des équipements militaires interopérables de pointe. </w:t>
      </w:r>
      <w:r w:rsidRPr="00675EEE">
        <w:rPr>
          <w:rFonts w:ascii="Arial" w:hAnsi="Arial" w:cs="Arial"/>
          <w:lang w:val="fr-FR"/>
        </w:rPr>
        <w:t xml:space="preserve">Handicapés par cet arsenal périmé et insuffisant, les </w:t>
      </w:r>
      <w:r w:rsidR="0027223A" w:rsidRPr="00675EEE">
        <w:rPr>
          <w:rFonts w:ascii="Arial" w:hAnsi="Arial" w:cs="Arial"/>
          <w:lang w:val="fr-FR"/>
        </w:rPr>
        <w:t>États</w:t>
      </w:r>
      <w:r w:rsidRPr="00675EEE">
        <w:rPr>
          <w:rFonts w:ascii="Arial" w:hAnsi="Arial" w:cs="Arial"/>
          <w:lang w:val="fr-FR"/>
        </w:rPr>
        <w:t xml:space="preserve"> éprouvent non seulement des difficultés à participer aux opérations interarmées de l’OTAN au maximum de leurs possibilités, mais également à assurer leur propre défense.</w:t>
      </w:r>
    </w:p>
    <w:p w14:paraId="126FECA4" w14:textId="77777777" w:rsidR="00675EEE" w:rsidRPr="00675EEE" w:rsidRDefault="00675EEE" w:rsidP="00675EEE">
      <w:pPr>
        <w:pStyle w:val="ListParagraph"/>
        <w:tabs>
          <w:tab w:val="left" w:pos="567"/>
        </w:tabs>
        <w:ind w:left="0"/>
        <w:jc w:val="both"/>
        <w:rPr>
          <w:rFonts w:ascii="Arial" w:hAnsi="Arial" w:cs="Arial"/>
          <w:lang w:val="fr-FR"/>
        </w:rPr>
      </w:pPr>
    </w:p>
    <w:p w14:paraId="4B18DB00" w14:textId="1EBA9B69" w:rsidR="00F62366" w:rsidRPr="00963572" w:rsidRDefault="00F62366"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Si l’on replace ces chiffres dans un contexte plus large, on constate qu’en 2015, les dépenses de défense des pays membres de l’OTAN représentaient environ 54 % des dépenses de défense mondial</w:t>
      </w:r>
      <w:r w:rsidR="00675EEE">
        <w:rPr>
          <w:rFonts w:ascii="Arial" w:hAnsi="Arial" w:cs="Arial"/>
          <w:lang w:val="fr-FR"/>
        </w:rPr>
        <w:t>es</w:t>
      </w:r>
      <w:r w:rsidRPr="00675EEE">
        <w:rPr>
          <w:rFonts w:ascii="Arial" w:hAnsi="Arial" w:cs="Arial"/>
          <w:lang w:val="fr-FR"/>
        </w:rPr>
        <w:t xml:space="preserve">, contre 18 % seulement pour la Chine, l’Arabie Saoudite et la Russie – trois pays </w:t>
      </w:r>
      <w:r w:rsidR="00630E03" w:rsidRPr="00675EEE">
        <w:rPr>
          <w:rFonts w:ascii="Arial" w:hAnsi="Arial" w:cs="Arial"/>
          <w:lang w:val="fr-FR"/>
        </w:rPr>
        <w:t>dotés</w:t>
      </w:r>
      <w:r w:rsidRPr="00675EEE">
        <w:rPr>
          <w:rFonts w:ascii="Arial" w:hAnsi="Arial" w:cs="Arial"/>
          <w:lang w:val="fr-FR"/>
        </w:rPr>
        <w:t xml:space="preserve"> d’importants budgets de défense. </w:t>
      </w:r>
      <w:r w:rsidRPr="00963572">
        <w:rPr>
          <w:rFonts w:ascii="Arial" w:hAnsi="Arial" w:cs="Arial"/>
          <w:lang w:val="fr-FR"/>
        </w:rPr>
        <w:t>Cela dit, le niveau des dépenses OTAN est largement biaisé par le budget de la déf</w:t>
      </w:r>
      <w:r w:rsidR="00630E03" w:rsidRPr="00963572">
        <w:rPr>
          <w:rFonts w:ascii="Arial" w:hAnsi="Arial" w:cs="Arial"/>
          <w:lang w:val="fr-FR"/>
        </w:rPr>
        <w:t>ense des États-Unis. L</w:t>
      </w:r>
      <w:r w:rsidRPr="00963572">
        <w:rPr>
          <w:rFonts w:ascii="Arial" w:hAnsi="Arial" w:cs="Arial"/>
          <w:lang w:val="fr-FR"/>
        </w:rPr>
        <w:t xml:space="preserve">es dépenses de défense chinoises sont </w:t>
      </w:r>
      <w:r w:rsidR="00630E03" w:rsidRPr="00963572">
        <w:rPr>
          <w:rFonts w:ascii="Arial" w:hAnsi="Arial" w:cs="Arial"/>
          <w:lang w:val="fr-FR"/>
        </w:rPr>
        <w:t xml:space="preserve">en effet </w:t>
      </w:r>
      <w:r w:rsidRPr="00963572">
        <w:rPr>
          <w:rFonts w:ascii="Arial" w:hAnsi="Arial" w:cs="Arial"/>
          <w:lang w:val="fr-FR"/>
        </w:rPr>
        <w:t xml:space="preserve">supérieures à celles du Royaume-Uni, de la France et de l’Allemagne réunis. </w:t>
      </w:r>
      <w:r w:rsidR="00630E03" w:rsidRPr="00963572">
        <w:rPr>
          <w:rFonts w:ascii="Arial" w:hAnsi="Arial" w:cs="Arial"/>
          <w:lang w:val="fr-FR"/>
        </w:rPr>
        <w:t>De plus</w:t>
      </w:r>
      <w:r w:rsidRPr="00963572">
        <w:rPr>
          <w:rFonts w:ascii="Arial" w:hAnsi="Arial" w:cs="Arial"/>
          <w:lang w:val="fr-FR"/>
        </w:rPr>
        <w:t xml:space="preserve">, la somme des dépenses de défense de la Russie et de la Chine dépasse le </w:t>
      </w:r>
      <w:r w:rsidR="004133EC" w:rsidRPr="00963572">
        <w:rPr>
          <w:rFonts w:ascii="Arial" w:hAnsi="Arial" w:cs="Arial"/>
          <w:lang w:val="fr-FR"/>
        </w:rPr>
        <w:t>montant cumulé</w:t>
      </w:r>
      <w:r w:rsidRPr="00963572">
        <w:rPr>
          <w:rFonts w:ascii="Arial" w:hAnsi="Arial" w:cs="Arial"/>
          <w:lang w:val="fr-FR"/>
        </w:rPr>
        <w:t xml:space="preserve"> pour tous les membres de l’Union européenne </w:t>
      </w:r>
      <w:r w:rsidR="00630E03" w:rsidRPr="00963572">
        <w:rPr>
          <w:rFonts w:ascii="Arial" w:hAnsi="Arial" w:cs="Arial"/>
          <w:lang w:val="fr-FR"/>
        </w:rPr>
        <w:t xml:space="preserve">réunis </w:t>
      </w:r>
      <w:r w:rsidRPr="00963572">
        <w:rPr>
          <w:rFonts w:ascii="Arial" w:hAnsi="Arial" w:cs="Arial"/>
          <w:lang w:val="fr-FR"/>
        </w:rPr>
        <w:t>(</w:t>
      </w:r>
      <w:proofErr w:type="spellStart"/>
      <w:r w:rsidRPr="00963572">
        <w:rPr>
          <w:rFonts w:ascii="Arial" w:hAnsi="Arial" w:cs="Arial"/>
          <w:lang w:val="fr-FR"/>
        </w:rPr>
        <w:t>Kendry</w:t>
      </w:r>
      <w:proofErr w:type="spellEnd"/>
      <w:r w:rsidRPr="00963572">
        <w:rPr>
          <w:rFonts w:ascii="Arial" w:hAnsi="Arial" w:cs="Arial"/>
          <w:lang w:val="fr-FR"/>
        </w:rPr>
        <w:t>, 2016).</w:t>
      </w:r>
    </w:p>
    <w:p w14:paraId="1FFC7EB6" w14:textId="77777777" w:rsidR="0027223A" w:rsidRPr="00873F20" w:rsidRDefault="0027223A" w:rsidP="0027223A"/>
    <w:p w14:paraId="3495E030" w14:textId="6E5D05DF" w:rsidR="00D55FEA" w:rsidRPr="00873F20" w:rsidRDefault="00D55FEA" w:rsidP="00825AB9">
      <w:pPr>
        <w:pStyle w:val="Heading2"/>
        <w:numPr>
          <w:ilvl w:val="0"/>
          <w:numId w:val="24"/>
        </w:numPr>
        <w:tabs>
          <w:tab w:val="clear" w:pos="567"/>
          <w:tab w:val="clear" w:pos="1134"/>
        </w:tabs>
        <w:ind w:left="1134" w:hanging="567"/>
      </w:pPr>
      <w:bookmarkStart w:id="15" w:name="_Toc464810722"/>
      <w:r w:rsidRPr="00873F20">
        <w:t>Engagement en faveur de la d</w:t>
      </w:r>
      <w:r w:rsidR="00D859A6" w:rsidRPr="00873F20">
        <w:t>É</w:t>
      </w:r>
      <w:r w:rsidRPr="00873F20">
        <w:t>ployabilit</w:t>
      </w:r>
      <w:r w:rsidR="00D859A6" w:rsidRPr="00873F20">
        <w:t>É</w:t>
      </w:r>
      <w:bookmarkEnd w:id="15"/>
    </w:p>
    <w:p w14:paraId="74C663A2" w14:textId="77777777" w:rsidR="0027223A" w:rsidRPr="00873F20" w:rsidRDefault="0027223A" w:rsidP="0027223A"/>
    <w:p w14:paraId="79E921A7" w14:textId="002DFC35" w:rsidR="00D55FEA" w:rsidRPr="007650B5" w:rsidRDefault="00101561" w:rsidP="00825AB9">
      <w:pPr>
        <w:pStyle w:val="ListParagraph"/>
        <w:numPr>
          <w:ilvl w:val="0"/>
          <w:numId w:val="25"/>
        </w:numPr>
        <w:tabs>
          <w:tab w:val="left" w:pos="567"/>
        </w:tabs>
        <w:ind w:left="0" w:firstLine="0"/>
        <w:jc w:val="both"/>
        <w:rPr>
          <w:rFonts w:ascii="Arial" w:hAnsi="Arial" w:cs="Arial"/>
          <w:lang w:val="fr-FR"/>
        </w:rPr>
      </w:pPr>
      <w:r w:rsidRPr="00675EEE">
        <w:rPr>
          <w:rFonts w:ascii="Arial" w:hAnsi="Arial" w:cs="Arial"/>
          <w:lang w:val="fr-FR"/>
        </w:rPr>
        <w:t>À</w:t>
      </w:r>
      <w:r w:rsidR="00D55FEA" w:rsidRPr="00675EEE">
        <w:rPr>
          <w:rFonts w:ascii="Arial" w:hAnsi="Arial" w:cs="Arial"/>
          <w:lang w:val="fr-FR"/>
        </w:rPr>
        <w:t xml:space="preserve"> côté de ces engagements financiers, les Alliés sont également convenus de faire le nécessaire pour que leurs forces terrestres, aériennes et </w:t>
      </w:r>
      <w:r w:rsidR="00CC38B5" w:rsidRPr="00675EEE">
        <w:rPr>
          <w:rFonts w:ascii="Arial" w:hAnsi="Arial" w:cs="Arial"/>
          <w:lang w:val="fr-FR"/>
        </w:rPr>
        <w:t>navales</w:t>
      </w:r>
      <w:r w:rsidR="00D55FEA" w:rsidRPr="00675EEE">
        <w:rPr>
          <w:rFonts w:ascii="Arial" w:hAnsi="Arial" w:cs="Arial"/>
          <w:lang w:val="fr-FR"/>
        </w:rPr>
        <w:t xml:space="preserve"> soient conformes aux normes OTAN de déployabilité et de soutenabilité. </w:t>
      </w:r>
      <w:r w:rsidR="00D55FEA" w:rsidRPr="00963572">
        <w:rPr>
          <w:rFonts w:ascii="Arial" w:hAnsi="Arial" w:cs="Arial"/>
          <w:lang w:val="fr-FR"/>
        </w:rPr>
        <w:t xml:space="preserve">En 2014, l’Assemblée parlementaire de </w:t>
      </w:r>
      <w:r w:rsidR="007650B5" w:rsidRPr="00963572">
        <w:rPr>
          <w:rFonts w:ascii="Arial" w:hAnsi="Arial" w:cs="Arial"/>
          <w:lang w:val="fr-FR"/>
        </w:rPr>
        <w:t>l’OTAN rappelait</w:t>
      </w:r>
      <w:r w:rsidR="00D55FEA" w:rsidRPr="00963572">
        <w:rPr>
          <w:rFonts w:ascii="Arial" w:hAnsi="Arial" w:cs="Arial"/>
          <w:lang w:val="fr-FR"/>
        </w:rPr>
        <w:t xml:space="preserve"> l’importance de l’engagemen</w:t>
      </w:r>
      <w:r w:rsidR="00A66B3F" w:rsidRPr="00963572">
        <w:rPr>
          <w:rFonts w:ascii="Arial" w:hAnsi="Arial" w:cs="Arial"/>
          <w:lang w:val="fr-FR"/>
        </w:rPr>
        <w:t xml:space="preserve">t en faveur </w:t>
      </w:r>
      <w:r w:rsidR="004133EC" w:rsidRPr="00963572">
        <w:rPr>
          <w:rFonts w:ascii="Arial" w:hAnsi="Arial" w:cs="Arial"/>
          <w:lang w:val="fr-FR"/>
        </w:rPr>
        <w:t>d’une</w:t>
      </w:r>
      <w:r w:rsidR="00A66B3F" w:rsidRPr="00963572">
        <w:rPr>
          <w:rFonts w:ascii="Arial" w:hAnsi="Arial" w:cs="Arial"/>
          <w:lang w:val="fr-FR"/>
        </w:rPr>
        <w:t xml:space="preserve"> déployabilité</w:t>
      </w:r>
      <w:r w:rsidR="00D55FEA" w:rsidRPr="00963572">
        <w:rPr>
          <w:rFonts w:ascii="Arial" w:hAnsi="Arial" w:cs="Arial"/>
          <w:lang w:val="fr-FR"/>
        </w:rPr>
        <w:t xml:space="preserve"> </w:t>
      </w:r>
      <w:r w:rsidR="004133EC" w:rsidRPr="00963572">
        <w:rPr>
          <w:rFonts w:ascii="Arial" w:hAnsi="Arial" w:cs="Arial"/>
          <w:lang w:val="fr-FR"/>
        </w:rPr>
        <w:t xml:space="preserve">reposant sur </w:t>
      </w:r>
      <w:r w:rsidR="00E11330" w:rsidRPr="00963572">
        <w:rPr>
          <w:rFonts w:ascii="Arial" w:hAnsi="Arial" w:cs="Arial"/>
          <w:lang w:val="fr-FR"/>
        </w:rPr>
        <w:t>la mise en service de</w:t>
      </w:r>
      <w:r w:rsidR="00D55FEA" w:rsidRPr="00963572">
        <w:rPr>
          <w:rFonts w:ascii="Arial" w:hAnsi="Arial" w:cs="Arial"/>
          <w:lang w:val="fr-FR"/>
        </w:rPr>
        <w:t xml:space="preserve"> forces très performantes, rapides et bien équipées (</w:t>
      </w:r>
      <w:hyperlink r:id="rId14" w:history="1">
        <w:r w:rsidR="00D55FEA" w:rsidRPr="009E439C">
          <w:rPr>
            <w:rStyle w:val="Hyperlink"/>
            <w:rFonts w:ascii="Arial" w:hAnsi="Arial" w:cs="Arial"/>
            <w:color w:val="17365D" w:themeColor="text2" w:themeShade="BF"/>
            <w:u w:val="none"/>
            <w:lang w:val="fr-FR"/>
          </w:rPr>
          <w:t>A</w:t>
        </w:r>
        <w:r w:rsidRPr="009E439C">
          <w:rPr>
            <w:rStyle w:val="Hyperlink"/>
            <w:rFonts w:ascii="Arial" w:hAnsi="Arial" w:cs="Arial"/>
            <w:color w:val="17365D" w:themeColor="text2" w:themeShade="BF"/>
            <w:u w:val="none"/>
            <w:lang w:val="fr-FR"/>
          </w:rPr>
          <w:t>P</w:t>
        </w:r>
        <w:r w:rsidRPr="009E439C">
          <w:rPr>
            <w:rStyle w:val="Hyperlink"/>
            <w:rFonts w:ascii="Arial" w:hAnsi="Arial" w:cs="Arial"/>
            <w:color w:val="17365D" w:themeColor="text2" w:themeShade="BF"/>
            <w:u w:val="none"/>
            <w:lang w:val="fr-FR"/>
          </w:rPr>
          <w:noBreakHyphen/>
          <w:t>OTAN, </w:t>
        </w:r>
        <w:r w:rsidR="00D55FEA" w:rsidRPr="009E439C">
          <w:rPr>
            <w:rStyle w:val="Hyperlink"/>
            <w:rFonts w:ascii="Arial" w:hAnsi="Arial" w:cs="Arial"/>
            <w:color w:val="17365D" w:themeColor="text2" w:themeShade="BF"/>
            <w:u w:val="none"/>
            <w:lang w:val="fr-FR"/>
          </w:rPr>
          <w:t>2014</w:t>
        </w:r>
      </w:hyperlink>
      <w:r w:rsidR="00D55FEA" w:rsidRPr="00963572">
        <w:rPr>
          <w:rFonts w:ascii="Arial" w:hAnsi="Arial" w:cs="Arial"/>
          <w:lang w:val="fr-FR"/>
        </w:rPr>
        <w:t xml:space="preserve">). </w:t>
      </w:r>
      <w:r w:rsidR="00D55FEA" w:rsidRPr="007650B5">
        <w:rPr>
          <w:rFonts w:ascii="Arial" w:hAnsi="Arial" w:cs="Arial"/>
          <w:lang w:val="fr-FR"/>
        </w:rPr>
        <w:t>Pourtant, l’OTAN éprouve encore et toujours d’importantes difficultés à mettre en œuvre les forces et le matériel in</w:t>
      </w:r>
      <w:r w:rsidR="007650B5" w:rsidRPr="007650B5">
        <w:rPr>
          <w:rFonts w:ascii="Arial" w:hAnsi="Arial" w:cs="Arial"/>
          <w:lang w:val="fr-FR"/>
        </w:rPr>
        <w:t>d</w:t>
      </w:r>
      <w:r w:rsidR="007650B5">
        <w:rPr>
          <w:rFonts w:ascii="Arial" w:hAnsi="Arial" w:cs="Arial"/>
          <w:lang w:val="fr-FR"/>
        </w:rPr>
        <w:t xml:space="preserve">ispensables à des déploiements </w:t>
      </w:r>
      <w:r w:rsidR="00D55FEA" w:rsidRPr="007650B5">
        <w:rPr>
          <w:rFonts w:ascii="Arial" w:hAnsi="Arial" w:cs="Arial"/>
          <w:lang w:val="fr-FR"/>
        </w:rPr>
        <w:t>rapides et de grande envergure. Comme indiqué</w:t>
      </w:r>
      <w:r w:rsidR="00D45BE4" w:rsidRPr="007650B5">
        <w:rPr>
          <w:rFonts w:ascii="Arial" w:hAnsi="Arial" w:cs="Arial"/>
          <w:lang w:val="fr-FR"/>
        </w:rPr>
        <w:t xml:space="preserve"> </w:t>
      </w:r>
      <w:r w:rsidR="00CC38B5" w:rsidRPr="007650B5">
        <w:rPr>
          <w:rFonts w:ascii="Arial" w:hAnsi="Arial" w:cs="Arial"/>
          <w:lang w:val="fr-FR"/>
        </w:rPr>
        <w:t>plus haut</w:t>
      </w:r>
      <w:r w:rsidR="0027223A" w:rsidRPr="007650B5">
        <w:rPr>
          <w:rFonts w:ascii="Arial" w:hAnsi="Arial" w:cs="Arial"/>
          <w:lang w:val="fr-FR"/>
        </w:rPr>
        <w:t>,</w:t>
      </w:r>
      <w:r w:rsidR="007650B5" w:rsidRPr="007650B5">
        <w:rPr>
          <w:rFonts w:ascii="Arial" w:hAnsi="Arial" w:cs="Arial"/>
          <w:lang w:val="fr-FR"/>
        </w:rPr>
        <w:t xml:space="preserve"> </w:t>
      </w:r>
      <w:r w:rsidR="0027223A" w:rsidRPr="007650B5">
        <w:rPr>
          <w:rFonts w:ascii="Arial" w:hAnsi="Arial" w:cs="Arial"/>
          <w:lang w:val="fr-FR"/>
        </w:rPr>
        <w:t>l’opération </w:t>
      </w:r>
      <w:proofErr w:type="spellStart"/>
      <w:r w:rsidR="0027223A" w:rsidRPr="007650B5">
        <w:rPr>
          <w:rFonts w:ascii="Arial" w:hAnsi="Arial" w:cs="Arial"/>
          <w:i/>
          <w:lang w:val="fr-FR"/>
        </w:rPr>
        <w:t>Unified</w:t>
      </w:r>
      <w:proofErr w:type="spellEnd"/>
      <w:r w:rsidR="0027223A" w:rsidRPr="007650B5">
        <w:rPr>
          <w:rFonts w:ascii="Arial" w:hAnsi="Arial" w:cs="Arial"/>
          <w:i/>
          <w:lang w:val="fr-FR"/>
        </w:rPr>
        <w:t> </w:t>
      </w:r>
      <w:proofErr w:type="spellStart"/>
      <w:r w:rsidR="00D55FEA" w:rsidRPr="007650B5">
        <w:rPr>
          <w:rFonts w:ascii="Arial" w:hAnsi="Arial" w:cs="Arial"/>
          <w:i/>
          <w:lang w:val="fr-FR"/>
        </w:rPr>
        <w:t>Protector</w:t>
      </w:r>
      <w:proofErr w:type="spellEnd"/>
      <w:r w:rsidR="00D55FEA" w:rsidRPr="007650B5">
        <w:rPr>
          <w:rFonts w:ascii="Arial" w:hAnsi="Arial" w:cs="Arial"/>
          <w:lang w:val="fr-FR"/>
        </w:rPr>
        <w:t xml:space="preserve"> menée en 2011 dans un espace aérien libyen pourtant mal défendu a mis en lumière les lacunes des capacités européennes. </w:t>
      </w:r>
      <w:r w:rsidR="00D55FEA" w:rsidRPr="00963572">
        <w:rPr>
          <w:rFonts w:ascii="Arial" w:hAnsi="Arial" w:cs="Arial"/>
          <w:lang w:val="fr-FR"/>
        </w:rPr>
        <w:t xml:space="preserve">Malgré cela, les Alliés européens </w:t>
      </w:r>
      <w:r w:rsidR="00CC38B5" w:rsidRPr="00963572">
        <w:rPr>
          <w:rFonts w:ascii="Arial" w:hAnsi="Arial" w:cs="Arial"/>
          <w:lang w:val="fr-FR"/>
        </w:rPr>
        <w:t>hésitent toujours</w:t>
      </w:r>
      <w:r w:rsidR="00D55FEA" w:rsidRPr="00963572">
        <w:rPr>
          <w:rFonts w:ascii="Arial" w:hAnsi="Arial" w:cs="Arial"/>
          <w:lang w:val="fr-FR"/>
        </w:rPr>
        <w:t xml:space="preserve"> à prendre des engagements capacitaires concrets en prévision de futures opérations éventuelles. </w:t>
      </w:r>
      <w:r w:rsidR="00D55FEA" w:rsidRPr="007650B5">
        <w:rPr>
          <w:rFonts w:ascii="Arial" w:hAnsi="Arial" w:cs="Arial"/>
          <w:lang w:val="fr-FR"/>
        </w:rPr>
        <w:t xml:space="preserve">Or, à défaut de compter sur un soutien massif des </w:t>
      </w:r>
      <w:r w:rsidR="00E11330" w:rsidRPr="007650B5">
        <w:rPr>
          <w:rFonts w:ascii="Arial" w:hAnsi="Arial" w:cs="Arial"/>
          <w:lang w:val="fr-FR"/>
        </w:rPr>
        <w:t>É</w:t>
      </w:r>
      <w:r w:rsidR="00D55FEA" w:rsidRPr="007650B5">
        <w:rPr>
          <w:rFonts w:ascii="Arial" w:hAnsi="Arial" w:cs="Arial"/>
          <w:lang w:val="fr-FR"/>
        </w:rPr>
        <w:t xml:space="preserve">tats-Unis, l’OTAN risque de ne pas </w:t>
      </w:r>
      <w:r w:rsidR="00CC38B5" w:rsidRPr="007650B5">
        <w:rPr>
          <w:rFonts w:ascii="Arial" w:hAnsi="Arial" w:cs="Arial"/>
          <w:lang w:val="fr-FR"/>
        </w:rPr>
        <w:t xml:space="preserve">pouvoir </w:t>
      </w:r>
      <w:r w:rsidR="00D55FEA" w:rsidRPr="007650B5">
        <w:rPr>
          <w:rFonts w:ascii="Arial" w:hAnsi="Arial" w:cs="Arial"/>
          <w:lang w:val="fr-FR"/>
        </w:rPr>
        <w:t xml:space="preserve">répondre aux conditions </w:t>
      </w:r>
      <w:r w:rsidR="009E439C">
        <w:rPr>
          <w:rFonts w:ascii="Arial" w:hAnsi="Arial" w:cs="Arial"/>
          <w:lang w:val="fr-FR"/>
        </w:rPr>
        <w:t xml:space="preserve">nécessaires à la conduite d’une </w:t>
      </w:r>
      <w:r w:rsidR="00D55FEA" w:rsidRPr="007650B5">
        <w:rPr>
          <w:rFonts w:ascii="Arial" w:hAnsi="Arial" w:cs="Arial"/>
          <w:lang w:val="fr-FR"/>
        </w:rPr>
        <w:t>opération majeu</w:t>
      </w:r>
      <w:r w:rsidR="00A66B3F" w:rsidRPr="007650B5">
        <w:rPr>
          <w:rFonts w:ascii="Arial" w:hAnsi="Arial" w:cs="Arial"/>
          <w:lang w:val="fr-FR"/>
        </w:rPr>
        <w:t xml:space="preserve">re – </w:t>
      </w:r>
      <w:r w:rsidR="007650B5">
        <w:rPr>
          <w:rFonts w:ascii="Arial" w:hAnsi="Arial" w:cs="Arial"/>
          <w:lang w:val="fr-FR"/>
        </w:rPr>
        <w:t>envergure, portée et vitesse </w:t>
      </w:r>
      <w:r w:rsidR="00D55FEA" w:rsidRPr="007650B5">
        <w:rPr>
          <w:rFonts w:ascii="Arial" w:hAnsi="Arial" w:cs="Arial"/>
          <w:lang w:val="fr-FR"/>
        </w:rPr>
        <w:t xml:space="preserve">–, en particulier face à des adversaires pouvant s’appuyer, comme la Russie, sur des moyens </w:t>
      </w:r>
      <w:r w:rsidR="001437DB" w:rsidRPr="007650B5">
        <w:rPr>
          <w:rFonts w:ascii="Arial" w:hAnsi="Arial" w:cs="Arial"/>
          <w:lang w:val="fr-FR"/>
        </w:rPr>
        <w:t xml:space="preserve">très </w:t>
      </w:r>
      <w:r w:rsidR="00D55FEA" w:rsidRPr="007650B5">
        <w:rPr>
          <w:rFonts w:ascii="Arial" w:hAnsi="Arial" w:cs="Arial"/>
          <w:lang w:val="fr-FR"/>
        </w:rPr>
        <w:t xml:space="preserve">avancés </w:t>
      </w:r>
      <w:r w:rsidR="007650B5" w:rsidRPr="007650B5">
        <w:rPr>
          <w:rFonts w:ascii="Arial" w:hAnsi="Arial" w:cs="Arial"/>
          <w:lang w:val="fr-FR"/>
        </w:rPr>
        <w:t>de déni</w:t>
      </w:r>
      <w:r w:rsidR="001437DB" w:rsidRPr="007650B5">
        <w:rPr>
          <w:rFonts w:ascii="Arial" w:hAnsi="Arial" w:cs="Arial"/>
          <w:lang w:val="fr-FR"/>
        </w:rPr>
        <w:t xml:space="preserve"> d’accès et </w:t>
      </w:r>
      <w:r w:rsidR="007650B5">
        <w:rPr>
          <w:rFonts w:ascii="Arial" w:hAnsi="Arial" w:cs="Arial"/>
          <w:lang w:val="fr-FR"/>
        </w:rPr>
        <w:t xml:space="preserve">d'interdiction </w:t>
      </w:r>
      <w:r w:rsidR="001437DB" w:rsidRPr="007650B5">
        <w:rPr>
          <w:rFonts w:ascii="Arial" w:hAnsi="Arial" w:cs="Arial"/>
          <w:lang w:val="fr-FR"/>
        </w:rPr>
        <w:t>de zone (</w:t>
      </w:r>
      <w:proofErr w:type="spellStart"/>
      <w:r w:rsidR="001437DB" w:rsidRPr="007650B5">
        <w:rPr>
          <w:rFonts w:ascii="Arial" w:hAnsi="Arial" w:cs="Arial"/>
          <w:lang w:val="fr-FR"/>
        </w:rPr>
        <w:t>Glatz</w:t>
      </w:r>
      <w:proofErr w:type="spellEnd"/>
      <w:r w:rsidR="001437DB" w:rsidRPr="007650B5">
        <w:rPr>
          <w:rFonts w:ascii="Arial" w:hAnsi="Arial" w:cs="Arial"/>
          <w:lang w:val="fr-FR"/>
        </w:rPr>
        <w:t xml:space="preserve"> et</w:t>
      </w:r>
      <w:r w:rsidR="00D55FEA" w:rsidRPr="007650B5">
        <w:rPr>
          <w:rFonts w:ascii="Arial" w:hAnsi="Arial" w:cs="Arial"/>
          <w:lang w:val="fr-FR"/>
        </w:rPr>
        <w:t xml:space="preserve"> </w:t>
      </w:r>
      <w:proofErr w:type="spellStart"/>
      <w:r w:rsidR="00D55FEA" w:rsidRPr="007650B5">
        <w:rPr>
          <w:rFonts w:ascii="Arial" w:hAnsi="Arial" w:cs="Arial"/>
          <w:lang w:val="fr-FR"/>
        </w:rPr>
        <w:t>Zapfe</w:t>
      </w:r>
      <w:proofErr w:type="spellEnd"/>
      <w:r w:rsidR="00D55FEA" w:rsidRPr="007650B5">
        <w:rPr>
          <w:rFonts w:ascii="Arial" w:hAnsi="Arial" w:cs="Arial"/>
          <w:lang w:val="fr-FR"/>
        </w:rPr>
        <w:t>, 2016).</w:t>
      </w:r>
    </w:p>
    <w:p w14:paraId="7FBD01C5" w14:textId="77777777" w:rsidR="0027223A" w:rsidRPr="00675EEE" w:rsidRDefault="0027223A" w:rsidP="00675EEE"/>
    <w:p w14:paraId="567331EA" w14:textId="58CBD2EA" w:rsidR="00CC38B5" w:rsidRPr="007650B5"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Les membres de l’OTAN ne devraient pas se </w:t>
      </w:r>
      <w:r w:rsidR="001437DB" w:rsidRPr="00963572">
        <w:rPr>
          <w:rFonts w:ascii="Arial" w:hAnsi="Arial" w:cs="Arial"/>
          <w:lang w:val="fr-FR"/>
        </w:rPr>
        <w:t>repos</w:t>
      </w:r>
      <w:r w:rsidRPr="00963572">
        <w:rPr>
          <w:rFonts w:ascii="Arial" w:hAnsi="Arial" w:cs="Arial"/>
          <w:lang w:val="fr-FR"/>
        </w:rPr>
        <w:t>er</w:t>
      </w:r>
      <w:r w:rsidR="001437DB" w:rsidRPr="00963572">
        <w:rPr>
          <w:rFonts w:ascii="Arial" w:hAnsi="Arial" w:cs="Arial"/>
          <w:lang w:val="fr-FR"/>
        </w:rPr>
        <w:t xml:space="preserve"> uniquement sur</w:t>
      </w:r>
      <w:r w:rsidRPr="00963572">
        <w:rPr>
          <w:rFonts w:ascii="Arial" w:hAnsi="Arial" w:cs="Arial"/>
          <w:lang w:val="fr-FR"/>
        </w:rPr>
        <w:t xml:space="preserve"> l’Initiative de réassurance pour l’Europe lancée par les </w:t>
      </w:r>
      <w:r w:rsidR="00E11330" w:rsidRPr="00963572">
        <w:rPr>
          <w:rFonts w:ascii="Arial" w:hAnsi="Arial" w:cs="Arial"/>
          <w:lang w:val="fr-FR"/>
        </w:rPr>
        <w:t>État</w:t>
      </w:r>
      <w:r w:rsidRPr="00963572">
        <w:rPr>
          <w:rFonts w:ascii="Arial" w:hAnsi="Arial" w:cs="Arial"/>
          <w:lang w:val="fr-FR"/>
        </w:rPr>
        <w:t>s-Unis, mais investir également dans le matériel et les infrastructures – pistes d’aérodromes, dépôts logistique et stocks de carburants, mod</w:t>
      </w:r>
      <w:r w:rsidR="00A66B3F" w:rsidRPr="00963572">
        <w:rPr>
          <w:rFonts w:ascii="Arial" w:hAnsi="Arial" w:cs="Arial"/>
          <w:lang w:val="fr-FR"/>
        </w:rPr>
        <w:t xml:space="preserve">ifications des ports et </w:t>
      </w:r>
      <w:r w:rsidRPr="00963572">
        <w:rPr>
          <w:rFonts w:ascii="Arial" w:hAnsi="Arial" w:cs="Arial"/>
          <w:lang w:val="fr-FR"/>
        </w:rPr>
        <w:t>radars de détection lointaine (</w:t>
      </w:r>
      <w:proofErr w:type="spellStart"/>
      <w:r w:rsidRPr="00963572">
        <w:rPr>
          <w:rFonts w:ascii="Arial" w:hAnsi="Arial" w:cs="Arial"/>
          <w:lang w:val="fr-FR"/>
        </w:rPr>
        <w:t>Kowalik</w:t>
      </w:r>
      <w:proofErr w:type="spellEnd"/>
      <w:r w:rsidRPr="00963572">
        <w:rPr>
          <w:rFonts w:ascii="Arial" w:hAnsi="Arial" w:cs="Arial"/>
          <w:lang w:val="fr-FR"/>
        </w:rPr>
        <w:t>, 2015).</w:t>
      </w:r>
      <w:r w:rsidR="00A66B3F" w:rsidRPr="00963572">
        <w:rPr>
          <w:rFonts w:ascii="Arial" w:hAnsi="Arial" w:cs="Arial"/>
          <w:lang w:val="fr-FR"/>
        </w:rPr>
        <w:t xml:space="preserve"> L</w:t>
      </w:r>
      <w:r w:rsidRPr="00963572">
        <w:rPr>
          <w:rFonts w:ascii="Arial" w:hAnsi="Arial" w:cs="Arial"/>
          <w:lang w:val="fr-FR"/>
        </w:rPr>
        <w:t>es matériels de pointe stockés et entretenus sur le territoire de différe</w:t>
      </w:r>
      <w:r w:rsidR="00A66B3F" w:rsidRPr="00963572">
        <w:rPr>
          <w:rFonts w:ascii="Arial" w:hAnsi="Arial" w:cs="Arial"/>
          <w:lang w:val="fr-FR"/>
        </w:rPr>
        <w:t>nts membres de l’OTAN devraient, par leur portée et leur format, pou</w:t>
      </w:r>
      <w:r w:rsidR="00CC38B5" w:rsidRPr="00963572">
        <w:rPr>
          <w:rFonts w:ascii="Arial" w:hAnsi="Arial" w:cs="Arial"/>
          <w:lang w:val="fr-FR"/>
        </w:rPr>
        <w:t>voir répondre à</w:t>
      </w:r>
      <w:r w:rsidRPr="00963572">
        <w:rPr>
          <w:rFonts w:ascii="Arial" w:hAnsi="Arial" w:cs="Arial"/>
          <w:lang w:val="fr-FR"/>
        </w:rPr>
        <w:t xml:space="preserve"> toute la gamme des situations susceptibles de se pr</w:t>
      </w:r>
      <w:r w:rsidR="001437DB" w:rsidRPr="00963572">
        <w:rPr>
          <w:rFonts w:ascii="Arial" w:hAnsi="Arial" w:cs="Arial"/>
          <w:lang w:val="fr-FR"/>
        </w:rPr>
        <w:t>ésenter dans le futur (</w:t>
      </w:r>
      <w:proofErr w:type="spellStart"/>
      <w:r w:rsidR="001437DB" w:rsidRPr="00963572">
        <w:rPr>
          <w:rFonts w:ascii="Arial" w:hAnsi="Arial" w:cs="Arial"/>
          <w:lang w:val="fr-FR"/>
        </w:rPr>
        <w:t>Glatz</w:t>
      </w:r>
      <w:proofErr w:type="spellEnd"/>
      <w:r w:rsidR="001437DB" w:rsidRPr="00963572">
        <w:rPr>
          <w:rFonts w:ascii="Arial" w:hAnsi="Arial" w:cs="Arial"/>
          <w:lang w:val="fr-FR"/>
        </w:rPr>
        <w:t xml:space="preserve"> et</w:t>
      </w:r>
      <w:r w:rsidR="00A66B3F" w:rsidRPr="00963572">
        <w:rPr>
          <w:rFonts w:ascii="Arial" w:hAnsi="Arial" w:cs="Arial"/>
          <w:lang w:val="fr-FR"/>
        </w:rPr>
        <w:t xml:space="preserve"> </w:t>
      </w:r>
      <w:proofErr w:type="spellStart"/>
      <w:r w:rsidR="00A66B3F" w:rsidRPr="00963572">
        <w:rPr>
          <w:rFonts w:ascii="Arial" w:hAnsi="Arial" w:cs="Arial"/>
          <w:lang w:val="fr-FR"/>
        </w:rPr>
        <w:t>Zapfe</w:t>
      </w:r>
      <w:proofErr w:type="spellEnd"/>
      <w:r w:rsidR="00A66B3F" w:rsidRPr="00963572">
        <w:rPr>
          <w:rFonts w:ascii="Arial" w:hAnsi="Arial" w:cs="Arial"/>
          <w:lang w:val="fr-FR"/>
        </w:rPr>
        <w:t xml:space="preserve">, 2016). </w:t>
      </w:r>
      <w:r w:rsidR="00A66B3F" w:rsidRPr="007650B5">
        <w:rPr>
          <w:rFonts w:ascii="Arial" w:hAnsi="Arial" w:cs="Arial"/>
          <w:lang w:val="fr-FR"/>
        </w:rPr>
        <w:t>La c</w:t>
      </w:r>
      <w:r w:rsidRPr="007650B5">
        <w:rPr>
          <w:rFonts w:ascii="Arial" w:hAnsi="Arial" w:cs="Arial"/>
          <w:lang w:val="fr-FR"/>
        </w:rPr>
        <w:t xml:space="preserve">ommission </w:t>
      </w:r>
      <w:r w:rsidR="001437DB" w:rsidRPr="007650B5">
        <w:rPr>
          <w:rFonts w:ascii="Arial" w:hAnsi="Arial" w:cs="Arial"/>
          <w:lang w:val="fr-FR"/>
        </w:rPr>
        <w:t xml:space="preserve">de la défense et de la sécurité </w:t>
      </w:r>
      <w:r w:rsidRPr="007650B5">
        <w:rPr>
          <w:rFonts w:ascii="Arial" w:hAnsi="Arial" w:cs="Arial"/>
          <w:lang w:val="fr-FR"/>
        </w:rPr>
        <w:t>a déjà formulé des mises en garde quant à l’incapacité de l’OTAN de renforcer à bref préavis les défenses des p</w:t>
      </w:r>
      <w:r w:rsidR="00FC6E48">
        <w:rPr>
          <w:rFonts w:ascii="Arial" w:hAnsi="Arial" w:cs="Arial"/>
          <w:lang w:val="fr-FR"/>
        </w:rPr>
        <w:t>ays hôtes situés sur son flanc </w:t>
      </w:r>
      <w:r w:rsidR="007650B5" w:rsidRPr="007650B5">
        <w:rPr>
          <w:rFonts w:ascii="Arial" w:hAnsi="Arial" w:cs="Arial"/>
          <w:lang w:val="fr-FR"/>
        </w:rPr>
        <w:t>e</w:t>
      </w:r>
      <w:r w:rsidRPr="007650B5">
        <w:rPr>
          <w:rFonts w:ascii="Arial" w:hAnsi="Arial" w:cs="Arial"/>
          <w:lang w:val="fr-FR"/>
        </w:rPr>
        <w:t xml:space="preserve">st, et </w:t>
      </w:r>
      <w:r w:rsidR="00CC38B5" w:rsidRPr="007650B5">
        <w:rPr>
          <w:rFonts w:ascii="Arial" w:hAnsi="Arial" w:cs="Arial"/>
          <w:lang w:val="fr-FR"/>
        </w:rPr>
        <w:t xml:space="preserve">a </w:t>
      </w:r>
      <w:r w:rsidRPr="007650B5">
        <w:rPr>
          <w:rFonts w:ascii="Arial" w:hAnsi="Arial" w:cs="Arial"/>
          <w:lang w:val="fr-FR"/>
        </w:rPr>
        <w:t xml:space="preserve">rappelé par ailleurs que l’état de préparation de l’Alliance est </w:t>
      </w:r>
      <w:r w:rsidR="00A66B3F" w:rsidRPr="007650B5">
        <w:rPr>
          <w:rFonts w:ascii="Arial" w:hAnsi="Arial" w:cs="Arial"/>
          <w:lang w:val="fr-FR"/>
        </w:rPr>
        <w:t xml:space="preserve">tributaire </w:t>
      </w:r>
      <w:r w:rsidRPr="007650B5">
        <w:rPr>
          <w:rFonts w:ascii="Arial" w:hAnsi="Arial" w:cs="Arial"/>
          <w:lang w:val="fr-FR"/>
        </w:rPr>
        <w:t xml:space="preserve">de la préparation des infrastructures, du </w:t>
      </w:r>
      <w:proofErr w:type="spellStart"/>
      <w:r w:rsidRPr="007650B5">
        <w:rPr>
          <w:rFonts w:ascii="Arial" w:hAnsi="Arial" w:cs="Arial"/>
          <w:lang w:val="fr-FR"/>
        </w:rPr>
        <w:t>prépositionnement</w:t>
      </w:r>
      <w:proofErr w:type="spellEnd"/>
      <w:r w:rsidRPr="007650B5">
        <w:rPr>
          <w:rFonts w:ascii="Arial" w:hAnsi="Arial" w:cs="Arial"/>
          <w:lang w:val="fr-FR"/>
        </w:rPr>
        <w:t xml:space="preserve"> d’équipements et de la désignation de bases spécifiques (</w:t>
      </w:r>
      <w:hyperlink r:id="rId15" w:history="1">
        <w:r w:rsidR="00E11330" w:rsidRPr="009E439C">
          <w:rPr>
            <w:rStyle w:val="Hyperlink"/>
            <w:rFonts w:ascii="Arial" w:hAnsi="Arial" w:cs="Arial"/>
            <w:color w:val="17365D" w:themeColor="text2" w:themeShade="BF"/>
            <w:u w:val="none"/>
            <w:lang w:val="fr-FR"/>
          </w:rPr>
          <w:t>AP-</w:t>
        </w:r>
        <w:r w:rsidRPr="009E439C">
          <w:rPr>
            <w:rStyle w:val="Hyperlink"/>
            <w:rFonts w:ascii="Arial" w:hAnsi="Arial" w:cs="Arial"/>
            <w:color w:val="17365D" w:themeColor="text2" w:themeShade="BF"/>
            <w:u w:val="none"/>
            <w:lang w:val="fr-FR"/>
          </w:rPr>
          <w:t>OTA</w:t>
        </w:r>
        <w:r w:rsidRPr="009E439C">
          <w:rPr>
            <w:rStyle w:val="Hyperlink"/>
            <w:rFonts w:ascii="Arial" w:hAnsi="Arial" w:cs="Arial"/>
            <w:color w:val="17365D" w:themeColor="text2" w:themeShade="BF"/>
            <w:u w:val="none"/>
            <w:lang w:val="fr-FR"/>
          </w:rPr>
          <w:t>N</w:t>
        </w:r>
        <w:r w:rsidRPr="009E439C">
          <w:rPr>
            <w:rStyle w:val="Hyperlink"/>
            <w:rFonts w:ascii="Arial" w:hAnsi="Arial" w:cs="Arial"/>
            <w:color w:val="17365D" w:themeColor="text2" w:themeShade="BF"/>
            <w:u w:val="none"/>
            <w:lang w:val="fr-FR"/>
          </w:rPr>
          <w:t>, 2015</w:t>
        </w:r>
      </w:hyperlink>
      <w:r w:rsidRPr="007650B5">
        <w:rPr>
          <w:rFonts w:ascii="Arial" w:hAnsi="Arial" w:cs="Arial"/>
          <w:lang w:val="fr-FR"/>
        </w:rPr>
        <w:t xml:space="preserve">). </w:t>
      </w:r>
    </w:p>
    <w:p w14:paraId="135A2CB9" w14:textId="77777777" w:rsidR="00CC38B5" w:rsidRPr="00675EEE" w:rsidRDefault="00CC38B5" w:rsidP="00675EEE"/>
    <w:p w14:paraId="10F9D762" w14:textId="4A3C7DB5"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Le RAP </w:t>
      </w:r>
      <w:r w:rsidR="00CC38B5" w:rsidRPr="00963572">
        <w:rPr>
          <w:rFonts w:ascii="Arial" w:hAnsi="Arial" w:cs="Arial"/>
          <w:lang w:val="fr-FR"/>
        </w:rPr>
        <w:t>et la présence avancée renforcée montrent sans conteste que l’on avance dans la bonne direction, mais de nombreux États membres pourraient encore relever le niveau de</w:t>
      </w:r>
      <w:r w:rsidR="00A66B3F" w:rsidRPr="00963572">
        <w:rPr>
          <w:rFonts w:ascii="Arial" w:hAnsi="Arial" w:cs="Arial"/>
          <w:lang w:val="fr-FR"/>
        </w:rPr>
        <w:t>s</w:t>
      </w:r>
      <w:r w:rsidR="00CC38B5" w:rsidRPr="00963572">
        <w:rPr>
          <w:rFonts w:ascii="Arial" w:hAnsi="Arial" w:cs="Arial"/>
          <w:lang w:val="fr-FR"/>
        </w:rPr>
        <w:t xml:space="preserve"> contributions </w:t>
      </w:r>
      <w:r w:rsidR="00A66B3F" w:rsidRPr="00963572">
        <w:rPr>
          <w:rFonts w:ascii="Arial" w:hAnsi="Arial" w:cs="Arial"/>
          <w:lang w:val="fr-FR"/>
        </w:rPr>
        <w:t xml:space="preserve">affectées à </w:t>
      </w:r>
      <w:r w:rsidR="00CC38B5" w:rsidRPr="00963572">
        <w:rPr>
          <w:rFonts w:ascii="Arial" w:hAnsi="Arial" w:cs="Arial"/>
          <w:lang w:val="fr-FR"/>
        </w:rPr>
        <w:t xml:space="preserve">la mise en œuvre de la </w:t>
      </w:r>
      <w:r w:rsidR="00A66B3F" w:rsidRPr="00963572">
        <w:rPr>
          <w:rFonts w:ascii="Arial" w:hAnsi="Arial" w:cs="Arial"/>
          <w:lang w:val="fr-FR"/>
        </w:rPr>
        <w:t xml:space="preserve">nouvelle </w:t>
      </w:r>
      <w:r w:rsidR="00CC38B5" w:rsidRPr="00963572">
        <w:rPr>
          <w:rFonts w:ascii="Arial" w:hAnsi="Arial" w:cs="Arial"/>
          <w:lang w:val="fr-FR"/>
        </w:rPr>
        <w:t xml:space="preserve">posture de dissuasion. </w:t>
      </w:r>
      <w:r w:rsidRPr="00963572">
        <w:rPr>
          <w:rFonts w:ascii="Arial" w:hAnsi="Arial" w:cs="Arial"/>
          <w:lang w:val="fr-FR"/>
        </w:rPr>
        <w:t>Il est évident, par ailleurs, que la réflexion stratégique de l’Alliance sur le nouvel environnement européen de sécurité continue d’évoluer et qu’il faudra, dans cette perspective, dégager de nouvelles solutions créatives pour la mise à profit des contributions potentielles</w:t>
      </w:r>
      <w:r w:rsidR="001437DB" w:rsidRPr="00963572">
        <w:rPr>
          <w:rFonts w:ascii="Arial" w:hAnsi="Arial" w:cs="Arial"/>
          <w:lang w:val="fr-FR"/>
        </w:rPr>
        <w:t xml:space="preserve"> de l’ensemble</w:t>
      </w:r>
      <w:r w:rsidRPr="00963572">
        <w:rPr>
          <w:rFonts w:ascii="Arial" w:hAnsi="Arial" w:cs="Arial"/>
          <w:lang w:val="fr-FR"/>
        </w:rPr>
        <w:t xml:space="preserve"> des 28 </w:t>
      </w:r>
      <w:r w:rsidR="00E11330" w:rsidRPr="00963572">
        <w:rPr>
          <w:rFonts w:ascii="Arial" w:hAnsi="Arial" w:cs="Arial"/>
          <w:lang w:val="fr-FR"/>
        </w:rPr>
        <w:t>État</w:t>
      </w:r>
      <w:r w:rsidRPr="00963572">
        <w:rPr>
          <w:rFonts w:ascii="Arial" w:hAnsi="Arial" w:cs="Arial"/>
          <w:lang w:val="fr-FR"/>
        </w:rPr>
        <w:t>s membres.</w:t>
      </w:r>
    </w:p>
    <w:p w14:paraId="5BC884F8" w14:textId="77777777" w:rsidR="0027223A" w:rsidRPr="00873F20" w:rsidRDefault="0027223A" w:rsidP="0027223A"/>
    <w:p w14:paraId="36A20B0A" w14:textId="266DD12C" w:rsidR="00D55FEA" w:rsidRPr="00873F20" w:rsidRDefault="00D55FEA" w:rsidP="00825AB9">
      <w:pPr>
        <w:pStyle w:val="Heading2"/>
        <w:numPr>
          <w:ilvl w:val="0"/>
          <w:numId w:val="24"/>
        </w:numPr>
        <w:tabs>
          <w:tab w:val="clear" w:pos="567"/>
        </w:tabs>
        <w:ind w:left="1134" w:hanging="567"/>
      </w:pPr>
      <w:bookmarkStart w:id="16" w:name="_Toc464810723"/>
      <w:r w:rsidRPr="00873F20">
        <w:t>La prise de d</w:t>
      </w:r>
      <w:r w:rsidR="00D859A6" w:rsidRPr="00873F20">
        <w:t>É</w:t>
      </w:r>
      <w:r w:rsidRPr="00873F20">
        <w:t xml:space="preserve">cision </w:t>
      </w:r>
      <w:r w:rsidR="00B10E64">
        <w:t>à</w:t>
      </w:r>
      <w:r w:rsidRPr="00873F20">
        <w:t xml:space="preserve"> l’OTAN</w:t>
      </w:r>
      <w:bookmarkEnd w:id="16"/>
    </w:p>
    <w:p w14:paraId="018E5C86" w14:textId="77777777" w:rsidR="0027223A" w:rsidRPr="007650B5" w:rsidRDefault="0027223A" w:rsidP="007650B5"/>
    <w:p w14:paraId="4D8024A5" w14:textId="07F93901" w:rsidR="00C02C3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7650B5">
        <w:rPr>
          <w:rFonts w:ascii="Arial" w:hAnsi="Arial" w:cs="Arial"/>
          <w:lang w:val="fr-FR"/>
        </w:rPr>
        <w:t>Comme déjà soulig</w:t>
      </w:r>
      <w:r w:rsidR="001437DB" w:rsidRPr="007650B5">
        <w:rPr>
          <w:rFonts w:ascii="Arial" w:hAnsi="Arial" w:cs="Arial"/>
          <w:lang w:val="fr-FR"/>
        </w:rPr>
        <w:t>né dans plusieurs rapports établis par cette</w:t>
      </w:r>
      <w:r w:rsidRPr="007650B5">
        <w:rPr>
          <w:rFonts w:ascii="Arial" w:hAnsi="Arial" w:cs="Arial"/>
          <w:lang w:val="fr-FR"/>
        </w:rPr>
        <w:t xml:space="preserve"> commission, le processus de décision appliqué par l’OTAN est excessivement lourd. </w:t>
      </w:r>
      <w:r w:rsidRPr="00963572">
        <w:rPr>
          <w:rFonts w:ascii="Arial" w:hAnsi="Arial" w:cs="Arial"/>
          <w:lang w:val="fr-FR"/>
        </w:rPr>
        <w:t xml:space="preserve">Cela tient au fait qu’il </w:t>
      </w:r>
      <w:r w:rsidR="009056AE" w:rsidRPr="00963572">
        <w:rPr>
          <w:rFonts w:ascii="Arial" w:hAnsi="Arial" w:cs="Arial"/>
          <w:lang w:val="fr-FR"/>
        </w:rPr>
        <w:t>reflète</w:t>
      </w:r>
      <w:r w:rsidRPr="00963572">
        <w:rPr>
          <w:rFonts w:ascii="Arial" w:hAnsi="Arial" w:cs="Arial"/>
          <w:lang w:val="fr-FR"/>
        </w:rPr>
        <w:t xml:space="preserve"> une logique bureaucratique totalement à l’opposé des cycles de décision très courts qu’impose l’environnement de sécurité actuel. Le Conse</w:t>
      </w:r>
      <w:r w:rsidR="00894AE9" w:rsidRPr="00963572">
        <w:rPr>
          <w:rFonts w:ascii="Arial" w:hAnsi="Arial" w:cs="Arial"/>
          <w:lang w:val="fr-FR"/>
        </w:rPr>
        <w:t xml:space="preserve">il de l’Atlantique Nord </w:t>
      </w:r>
      <w:r w:rsidRPr="00963572">
        <w:rPr>
          <w:rFonts w:ascii="Arial" w:hAnsi="Arial" w:cs="Arial"/>
          <w:lang w:val="fr-FR"/>
        </w:rPr>
        <w:t xml:space="preserve">ne peut dégager un consensus sur un éventuel déploiement de la VJTF </w:t>
      </w:r>
      <w:r w:rsidR="009056AE" w:rsidRPr="00963572">
        <w:rPr>
          <w:rFonts w:ascii="Arial" w:hAnsi="Arial" w:cs="Arial"/>
          <w:lang w:val="fr-FR"/>
        </w:rPr>
        <w:t>en l’absence d’</w:t>
      </w:r>
      <w:r w:rsidRPr="00963572">
        <w:rPr>
          <w:rFonts w:ascii="Arial" w:hAnsi="Arial" w:cs="Arial"/>
          <w:lang w:val="fr-FR"/>
        </w:rPr>
        <w:t>analyse commune de la menace reposant sur une connaissan</w:t>
      </w:r>
      <w:r w:rsidR="009056AE" w:rsidRPr="00963572">
        <w:rPr>
          <w:rFonts w:ascii="Arial" w:hAnsi="Arial" w:cs="Arial"/>
          <w:lang w:val="fr-FR"/>
        </w:rPr>
        <w:t>ce fiable de la situation. L</w:t>
      </w:r>
      <w:r w:rsidRPr="00963572">
        <w:rPr>
          <w:rFonts w:ascii="Arial" w:hAnsi="Arial" w:cs="Arial"/>
          <w:lang w:val="fr-FR"/>
        </w:rPr>
        <w:t>es tactiques hybrides pratiquées pa</w:t>
      </w:r>
      <w:r w:rsidR="001437DB" w:rsidRPr="00963572">
        <w:rPr>
          <w:rFonts w:ascii="Arial" w:hAnsi="Arial" w:cs="Arial"/>
          <w:lang w:val="fr-FR"/>
        </w:rPr>
        <w:t xml:space="preserve">r la Russie et les techniques </w:t>
      </w:r>
      <w:r w:rsidRPr="00963572">
        <w:rPr>
          <w:rFonts w:ascii="Arial" w:hAnsi="Arial" w:cs="Arial"/>
          <w:lang w:val="fr-FR"/>
        </w:rPr>
        <w:t>opérationnelle</w:t>
      </w:r>
      <w:r w:rsidR="001437DB" w:rsidRPr="00963572">
        <w:rPr>
          <w:rFonts w:ascii="Arial" w:hAnsi="Arial" w:cs="Arial"/>
          <w:lang w:val="fr-FR"/>
        </w:rPr>
        <w:t>s</w:t>
      </w:r>
      <w:r w:rsidRPr="00963572">
        <w:rPr>
          <w:rFonts w:ascii="Arial" w:hAnsi="Arial" w:cs="Arial"/>
          <w:lang w:val="fr-FR"/>
        </w:rPr>
        <w:t xml:space="preserve"> </w:t>
      </w:r>
      <w:r w:rsidR="001437DB" w:rsidRPr="00963572">
        <w:rPr>
          <w:rFonts w:ascii="Arial" w:hAnsi="Arial" w:cs="Arial"/>
          <w:lang w:val="fr-FR"/>
        </w:rPr>
        <w:t>des filières</w:t>
      </w:r>
      <w:r w:rsidRPr="00963572">
        <w:rPr>
          <w:rFonts w:ascii="Arial" w:hAnsi="Arial" w:cs="Arial"/>
          <w:lang w:val="fr-FR"/>
        </w:rPr>
        <w:t xml:space="preserve"> terroristes </w:t>
      </w:r>
      <w:r w:rsidR="009B605F" w:rsidRPr="00963572">
        <w:rPr>
          <w:rFonts w:ascii="Arial" w:hAnsi="Arial" w:cs="Arial"/>
          <w:lang w:val="fr-FR"/>
        </w:rPr>
        <w:t>imposent</w:t>
      </w:r>
      <w:r w:rsidR="009056AE" w:rsidRPr="00963572">
        <w:rPr>
          <w:rFonts w:ascii="Arial" w:hAnsi="Arial" w:cs="Arial"/>
          <w:lang w:val="fr-FR"/>
        </w:rPr>
        <w:t xml:space="preserve"> une analyse et une prise de décision rapides. M</w:t>
      </w:r>
      <w:r w:rsidRPr="00963572">
        <w:rPr>
          <w:rFonts w:ascii="Arial" w:hAnsi="Arial" w:cs="Arial"/>
          <w:lang w:val="fr-FR"/>
        </w:rPr>
        <w:t xml:space="preserve">ême si ces pratiques hybrides </w:t>
      </w:r>
      <w:r w:rsidR="009056AE" w:rsidRPr="00963572">
        <w:rPr>
          <w:rFonts w:ascii="Arial" w:hAnsi="Arial" w:cs="Arial"/>
          <w:lang w:val="fr-FR"/>
        </w:rPr>
        <w:t xml:space="preserve">peuvent </w:t>
      </w:r>
      <w:r w:rsidR="004133EC" w:rsidRPr="00963572">
        <w:rPr>
          <w:rFonts w:ascii="Arial" w:hAnsi="Arial" w:cs="Arial"/>
          <w:lang w:val="fr-FR"/>
        </w:rPr>
        <w:t>compliquer</w:t>
      </w:r>
      <w:r w:rsidR="00B10E64">
        <w:rPr>
          <w:rFonts w:ascii="Arial" w:hAnsi="Arial" w:cs="Arial"/>
          <w:lang w:val="fr-FR"/>
        </w:rPr>
        <w:t xml:space="preserve"> la cohésion dans les différentes perceptions de </w:t>
      </w:r>
      <w:r w:rsidR="00491441" w:rsidRPr="00963572">
        <w:rPr>
          <w:rFonts w:ascii="Arial" w:hAnsi="Arial" w:cs="Arial"/>
          <w:lang w:val="fr-FR"/>
        </w:rPr>
        <w:t xml:space="preserve">la </w:t>
      </w:r>
      <w:r w:rsidRPr="00963572">
        <w:rPr>
          <w:rFonts w:ascii="Arial" w:hAnsi="Arial" w:cs="Arial"/>
          <w:lang w:val="fr-FR"/>
        </w:rPr>
        <w:t>situ</w:t>
      </w:r>
      <w:r w:rsidR="00B10E64">
        <w:rPr>
          <w:rFonts w:ascii="Arial" w:hAnsi="Arial" w:cs="Arial"/>
          <w:lang w:val="fr-FR"/>
        </w:rPr>
        <w:t>ation et</w:t>
      </w:r>
      <w:r w:rsidR="001437DB" w:rsidRPr="00963572">
        <w:rPr>
          <w:rFonts w:ascii="Arial" w:hAnsi="Arial" w:cs="Arial"/>
          <w:lang w:val="fr-FR"/>
        </w:rPr>
        <w:t xml:space="preserve"> de </w:t>
      </w:r>
      <w:r w:rsidRPr="00963572">
        <w:rPr>
          <w:rFonts w:ascii="Arial" w:hAnsi="Arial" w:cs="Arial"/>
          <w:lang w:val="fr-FR"/>
        </w:rPr>
        <w:t>la menace, elles ne doivent pas empêcher l’Alliance de trouver un moyen de parvenir à ces objectifs.</w:t>
      </w:r>
    </w:p>
    <w:p w14:paraId="480AAEF9" w14:textId="77777777" w:rsidR="00C02C3A" w:rsidRPr="007650B5" w:rsidRDefault="00C02C3A" w:rsidP="007650B5"/>
    <w:p w14:paraId="5CE77460" w14:textId="08720B7A" w:rsidR="00D55FEA" w:rsidRPr="00B10E64" w:rsidRDefault="00894AE9" w:rsidP="00B10E64">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Le Conseil</w:t>
      </w:r>
      <w:r w:rsidR="00D55FEA" w:rsidRPr="00963572">
        <w:rPr>
          <w:rFonts w:ascii="Arial" w:hAnsi="Arial" w:cs="Arial"/>
          <w:lang w:val="fr-FR"/>
        </w:rPr>
        <w:t xml:space="preserve"> poursuit le débat sur la question de savoir jusqu’à quel point il pourrait, tout en conservant son statut d’autorité politique ultime, déléguer au </w:t>
      </w:r>
      <w:r w:rsidR="00491441" w:rsidRPr="00963572">
        <w:rPr>
          <w:rFonts w:ascii="Arial" w:hAnsi="Arial" w:cs="Arial"/>
          <w:lang w:val="fr-FR"/>
        </w:rPr>
        <w:t>commandant suprême des forces alliées en Europe (</w:t>
      </w:r>
      <w:r w:rsidR="00D55FEA" w:rsidRPr="00963572">
        <w:rPr>
          <w:rFonts w:ascii="Arial" w:hAnsi="Arial" w:cs="Arial"/>
          <w:lang w:val="fr-FR"/>
        </w:rPr>
        <w:t>SACEUR</w:t>
      </w:r>
      <w:r w:rsidR="00491441" w:rsidRPr="00963572">
        <w:rPr>
          <w:rFonts w:ascii="Arial" w:hAnsi="Arial" w:cs="Arial"/>
          <w:lang w:val="fr-FR"/>
        </w:rPr>
        <w:t>)</w:t>
      </w:r>
      <w:r w:rsidR="00D55FEA" w:rsidRPr="00963572">
        <w:rPr>
          <w:rFonts w:ascii="Arial" w:hAnsi="Arial" w:cs="Arial"/>
          <w:lang w:val="fr-FR"/>
        </w:rPr>
        <w:t xml:space="preserve"> le processus de mise en alerte, de mise en attente et de déploiement des forces. Or, il existe d’ores et déjà des scénarios prédéfinis assortis de mesures à prendre qui, une fois intégrés aux procédures </w:t>
      </w:r>
      <w:r w:rsidRPr="00963572">
        <w:rPr>
          <w:rFonts w:ascii="Arial" w:hAnsi="Arial" w:cs="Arial"/>
          <w:lang w:val="fr-FR"/>
        </w:rPr>
        <w:t>mobilisées par le Conseil</w:t>
      </w:r>
      <w:r w:rsidR="00D55FEA" w:rsidRPr="00963572">
        <w:rPr>
          <w:rFonts w:ascii="Arial" w:hAnsi="Arial" w:cs="Arial"/>
          <w:lang w:val="fr-FR"/>
        </w:rPr>
        <w:t>, permettraient de raccourcir les débats et de réagir à bref préavis (</w:t>
      </w:r>
      <w:proofErr w:type="spellStart"/>
      <w:r w:rsidR="00D55FEA" w:rsidRPr="00963572">
        <w:rPr>
          <w:rFonts w:ascii="Arial" w:hAnsi="Arial" w:cs="Arial"/>
          <w:lang w:val="fr-FR"/>
        </w:rPr>
        <w:t>Kowalik</w:t>
      </w:r>
      <w:proofErr w:type="spellEnd"/>
      <w:r w:rsidR="00D55FEA" w:rsidRPr="00963572">
        <w:rPr>
          <w:rFonts w:ascii="Arial" w:hAnsi="Arial" w:cs="Arial"/>
          <w:lang w:val="fr-FR"/>
        </w:rPr>
        <w:t xml:space="preserve">, 2015). Une meilleure connaissance de la situation grâce à un partage bilatéral et multilatéral intensifié du renseignement, de même qu’une analyse conjointe des données de détection lointaine (combinant renseignement </w:t>
      </w:r>
      <w:r w:rsidR="00491441" w:rsidRPr="00963572">
        <w:rPr>
          <w:rFonts w:ascii="Arial" w:hAnsi="Arial" w:cs="Arial"/>
          <w:lang w:val="fr-FR"/>
        </w:rPr>
        <w:t xml:space="preserve">d’origine </w:t>
      </w:r>
      <w:r w:rsidR="00D55FEA" w:rsidRPr="00963572">
        <w:rPr>
          <w:rFonts w:ascii="Arial" w:hAnsi="Arial" w:cs="Arial"/>
          <w:lang w:val="fr-FR"/>
        </w:rPr>
        <w:t>humain</w:t>
      </w:r>
      <w:r w:rsidR="00491441" w:rsidRPr="00963572">
        <w:rPr>
          <w:rFonts w:ascii="Arial" w:hAnsi="Arial" w:cs="Arial"/>
          <w:lang w:val="fr-FR"/>
        </w:rPr>
        <w:t>e</w:t>
      </w:r>
      <w:r w:rsidR="00D55FEA" w:rsidRPr="00963572">
        <w:rPr>
          <w:rFonts w:ascii="Arial" w:hAnsi="Arial" w:cs="Arial"/>
          <w:lang w:val="fr-FR"/>
        </w:rPr>
        <w:t xml:space="preserve"> et </w:t>
      </w:r>
      <w:r w:rsidR="00491441" w:rsidRPr="00963572">
        <w:rPr>
          <w:rFonts w:ascii="Arial" w:hAnsi="Arial" w:cs="Arial"/>
          <w:lang w:val="fr-FR"/>
        </w:rPr>
        <w:t>renseignement d’origine électromagnétique</w:t>
      </w:r>
      <w:r w:rsidR="00D55FEA" w:rsidRPr="00963572">
        <w:rPr>
          <w:rFonts w:ascii="Arial" w:hAnsi="Arial" w:cs="Arial"/>
          <w:lang w:val="fr-FR"/>
        </w:rPr>
        <w:t xml:space="preserve">) </w:t>
      </w:r>
      <w:r w:rsidR="009B605F" w:rsidRPr="00963572">
        <w:rPr>
          <w:rFonts w:ascii="Arial" w:hAnsi="Arial" w:cs="Arial"/>
          <w:lang w:val="fr-FR"/>
        </w:rPr>
        <w:t>peuvent</w:t>
      </w:r>
      <w:r w:rsidR="00D55FEA" w:rsidRPr="00963572">
        <w:rPr>
          <w:rFonts w:ascii="Arial" w:hAnsi="Arial" w:cs="Arial"/>
          <w:lang w:val="fr-FR"/>
        </w:rPr>
        <w:t xml:space="preserve"> apporter aux décideurs des informations complètes </w:t>
      </w:r>
      <w:r w:rsidR="009B605F" w:rsidRPr="00963572">
        <w:rPr>
          <w:rFonts w:ascii="Arial" w:hAnsi="Arial" w:cs="Arial"/>
          <w:lang w:val="fr-FR"/>
        </w:rPr>
        <w:t>susceptibles d’</w:t>
      </w:r>
      <w:r w:rsidR="00D55FEA" w:rsidRPr="00963572">
        <w:rPr>
          <w:rFonts w:ascii="Arial" w:hAnsi="Arial" w:cs="Arial"/>
          <w:lang w:val="fr-FR"/>
        </w:rPr>
        <w:t>étayer leurs décisions (SWP et Chatham House, 2015).</w:t>
      </w:r>
      <w:r w:rsidR="00115683" w:rsidRPr="00963572">
        <w:rPr>
          <w:rFonts w:ascii="Arial" w:hAnsi="Arial" w:cs="Arial"/>
          <w:lang w:val="fr-FR"/>
        </w:rPr>
        <w:t xml:space="preserve"> </w:t>
      </w:r>
      <w:r w:rsidR="009B605F" w:rsidRPr="00963572">
        <w:rPr>
          <w:rFonts w:ascii="Arial" w:hAnsi="Arial" w:cs="Arial"/>
          <w:lang w:val="fr-FR"/>
        </w:rPr>
        <w:t xml:space="preserve">Les conclusions du </w:t>
      </w:r>
      <w:r w:rsidR="00115683" w:rsidRPr="00963572">
        <w:rPr>
          <w:rFonts w:ascii="Arial" w:hAnsi="Arial" w:cs="Arial"/>
          <w:lang w:val="fr-FR"/>
        </w:rPr>
        <w:t>sommet de Varsovie</w:t>
      </w:r>
      <w:r w:rsidR="009B605F" w:rsidRPr="00963572">
        <w:rPr>
          <w:rFonts w:ascii="Arial" w:hAnsi="Arial" w:cs="Arial"/>
          <w:lang w:val="fr-FR"/>
        </w:rPr>
        <w:t xml:space="preserve"> reflétaient le souci </w:t>
      </w:r>
      <w:r w:rsidR="00115683" w:rsidRPr="00963572">
        <w:rPr>
          <w:rFonts w:ascii="Arial" w:hAnsi="Arial" w:cs="Arial"/>
          <w:lang w:val="fr-FR"/>
        </w:rPr>
        <w:t>d’améliorer la capacité d’anticipation stratégique de l’Alliance</w:t>
      </w:r>
      <w:r w:rsidR="009B605F" w:rsidRPr="00963572">
        <w:rPr>
          <w:rFonts w:ascii="Arial" w:hAnsi="Arial" w:cs="Arial"/>
          <w:lang w:val="fr-FR"/>
        </w:rPr>
        <w:t>, ce qui est en soit encourageant</w:t>
      </w:r>
      <w:r w:rsidR="00115683" w:rsidRPr="00963572">
        <w:rPr>
          <w:rFonts w:ascii="Arial" w:hAnsi="Arial" w:cs="Arial"/>
          <w:lang w:val="fr-FR"/>
        </w:rPr>
        <w:t>. Il est question</w:t>
      </w:r>
      <w:r w:rsidR="009B605F" w:rsidRPr="00963572">
        <w:rPr>
          <w:rFonts w:ascii="Arial" w:hAnsi="Arial" w:cs="Arial"/>
          <w:lang w:val="fr-FR"/>
        </w:rPr>
        <w:t xml:space="preserve">, dans les </w:t>
      </w:r>
      <w:r w:rsidR="004133EC" w:rsidRPr="00963572">
        <w:rPr>
          <w:rFonts w:ascii="Arial" w:hAnsi="Arial" w:cs="Arial"/>
          <w:lang w:val="fr-FR"/>
        </w:rPr>
        <w:t>documents</w:t>
      </w:r>
      <w:r w:rsidR="009B605F" w:rsidRPr="00963572">
        <w:rPr>
          <w:rFonts w:ascii="Arial" w:hAnsi="Arial" w:cs="Arial"/>
          <w:lang w:val="fr-FR"/>
        </w:rPr>
        <w:t xml:space="preserve"> </w:t>
      </w:r>
      <w:r w:rsidR="004133EC" w:rsidRPr="00963572">
        <w:rPr>
          <w:rFonts w:ascii="Arial" w:hAnsi="Arial" w:cs="Arial"/>
          <w:lang w:val="fr-FR"/>
        </w:rPr>
        <w:t>issu</w:t>
      </w:r>
      <w:r w:rsidR="00055B06" w:rsidRPr="00963572">
        <w:rPr>
          <w:rFonts w:ascii="Arial" w:hAnsi="Arial" w:cs="Arial"/>
          <w:lang w:val="fr-FR"/>
        </w:rPr>
        <w:t xml:space="preserve">s du sommet, </w:t>
      </w:r>
      <w:r w:rsidR="00115683" w:rsidRPr="00963572">
        <w:rPr>
          <w:rFonts w:ascii="Arial" w:hAnsi="Arial" w:cs="Arial"/>
          <w:lang w:val="fr-FR"/>
        </w:rPr>
        <w:t xml:space="preserve">de mettre en place des capacités </w:t>
      </w:r>
      <w:r w:rsidR="00FC38D2" w:rsidRPr="00963572">
        <w:rPr>
          <w:rFonts w:ascii="Arial" w:hAnsi="Arial" w:cs="Arial"/>
          <w:lang w:val="fr-FR"/>
        </w:rPr>
        <w:t>qui permettraient</w:t>
      </w:r>
      <w:r w:rsidR="00115683" w:rsidRPr="00963572">
        <w:rPr>
          <w:rFonts w:ascii="Arial" w:hAnsi="Arial" w:cs="Arial"/>
          <w:lang w:val="fr-FR"/>
        </w:rPr>
        <w:t xml:space="preserve"> de mieux suivre et d’anticiper les actions d'adversaires potentiels, notamment en privilégiant </w:t>
      </w:r>
      <w:r w:rsidR="002A090F" w:rsidRPr="00963572">
        <w:rPr>
          <w:rFonts w:ascii="Arial" w:hAnsi="Arial" w:cs="Arial"/>
          <w:lang w:val="fr-FR"/>
        </w:rPr>
        <w:t>l’acquisition de</w:t>
      </w:r>
      <w:r w:rsidR="00115683" w:rsidRPr="00963572">
        <w:rPr>
          <w:rFonts w:ascii="Arial" w:hAnsi="Arial" w:cs="Arial"/>
          <w:lang w:val="fr-FR"/>
        </w:rPr>
        <w:t xml:space="preserve"> moyens </w:t>
      </w:r>
      <w:r w:rsidR="00B10E64">
        <w:rPr>
          <w:rFonts w:ascii="Arial" w:hAnsi="Arial" w:cs="Arial"/>
          <w:lang w:val="fr-FR"/>
        </w:rPr>
        <w:t>ISR</w:t>
      </w:r>
      <w:r w:rsidR="002A090F" w:rsidRPr="00B10E64">
        <w:rPr>
          <w:rFonts w:ascii="Arial" w:hAnsi="Arial" w:cs="Arial"/>
          <w:lang w:val="fr-FR"/>
        </w:rPr>
        <w:t xml:space="preserve"> ainsi qu’en élargissant et en approfondissant les </w:t>
      </w:r>
      <w:r w:rsidR="00115683" w:rsidRPr="00B10E64">
        <w:rPr>
          <w:rFonts w:ascii="Arial" w:hAnsi="Arial" w:cs="Arial"/>
          <w:lang w:val="fr-FR"/>
        </w:rPr>
        <w:t>arrangements de large portée en matière de renseignemen</w:t>
      </w:r>
      <w:r w:rsidR="002A090F" w:rsidRPr="00B10E64">
        <w:rPr>
          <w:rFonts w:ascii="Arial" w:hAnsi="Arial" w:cs="Arial"/>
          <w:lang w:val="fr-FR"/>
        </w:rPr>
        <w:t>t. La création de la nouvelle division civilo</w:t>
      </w:r>
      <w:r w:rsidR="002A090F" w:rsidRPr="00B10E64">
        <w:rPr>
          <w:rFonts w:ascii="Arial" w:hAnsi="Arial" w:cs="Arial"/>
          <w:lang w:val="fr-FR"/>
        </w:rPr>
        <w:noBreakHyphen/>
        <w:t xml:space="preserve">militaire Renseignement et sécurité qui sera appelée à superviser toutes les activités de l’Alliance </w:t>
      </w:r>
      <w:r w:rsidR="00B10E64">
        <w:rPr>
          <w:rFonts w:ascii="Arial" w:hAnsi="Arial" w:cs="Arial"/>
          <w:lang w:val="fr-FR"/>
        </w:rPr>
        <w:t>dans ce domaine</w:t>
      </w:r>
      <w:r w:rsidR="002A090F" w:rsidRPr="00B10E64">
        <w:rPr>
          <w:rFonts w:ascii="Arial" w:hAnsi="Arial" w:cs="Arial"/>
          <w:lang w:val="fr-FR"/>
        </w:rPr>
        <w:t xml:space="preserve"> constitue un bon exemple de ce nouveau positionnement.</w:t>
      </w:r>
      <w:r w:rsidR="002A090F" w:rsidRPr="00B10E64">
        <w:rPr>
          <w:rFonts w:ascii="Arial" w:hAnsi="Arial" w:cs="Arial"/>
          <w:sz w:val="27"/>
          <w:szCs w:val="27"/>
          <w:lang w:val="fr-FR"/>
        </w:rPr>
        <w:t xml:space="preserve"> </w:t>
      </w:r>
    </w:p>
    <w:p w14:paraId="3668729F" w14:textId="77777777" w:rsidR="00C02C3A" w:rsidRPr="007650B5" w:rsidRDefault="00C02C3A" w:rsidP="007650B5"/>
    <w:p w14:paraId="60021F3E" w14:textId="619FC456" w:rsidR="00D55FEA" w:rsidRPr="007650B5"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On remarquera par ailleurs que la mise à l’épreuve du processus de consultation et des procédures de décision du Conseil sont des thèmes qui ont été intégrés aux exercices militaires traditionnels de l’OTAN, lesquels s’enchaînent dorénavant à un rythme accéléré. Il est essentiel, si l’on veut que le bras politique de l’OTAN puisse relever efficacement des défis stratégiques politico-militaires complexes, de mettre à l’épreuve les délais de réponse </w:t>
      </w:r>
      <w:r w:rsidR="00CE17F8" w:rsidRPr="00963572">
        <w:rPr>
          <w:rFonts w:ascii="Arial" w:hAnsi="Arial" w:cs="Arial"/>
          <w:lang w:val="fr-FR"/>
        </w:rPr>
        <w:t xml:space="preserve">du Conseil </w:t>
      </w:r>
      <w:r w:rsidRPr="00963572">
        <w:rPr>
          <w:rFonts w:ascii="Arial" w:hAnsi="Arial" w:cs="Arial"/>
          <w:lang w:val="fr-FR"/>
        </w:rPr>
        <w:t>prévus pour les crises (hybrides) complexes restant en-deçà de l’</w:t>
      </w:r>
      <w:r w:rsidR="00A87841" w:rsidRPr="00963572">
        <w:rPr>
          <w:rFonts w:ascii="Arial" w:hAnsi="Arial" w:cs="Arial"/>
          <w:lang w:val="fr-FR"/>
        </w:rPr>
        <w:t>article 5</w:t>
      </w:r>
      <w:r w:rsidR="00055B06" w:rsidRPr="00963572">
        <w:rPr>
          <w:rFonts w:ascii="Arial" w:hAnsi="Arial" w:cs="Arial"/>
          <w:lang w:val="fr-FR"/>
        </w:rPr>
        <w:t xml:space="preserve">. </w:t>
      </w:r>
      <w:r w:rsidR="00055B06" w:rsidRPr="007650B5">
        <w:rPr>
          <w:rFonts w:ascii="Arial" w:hAnsi="Arial" w:cs="Arial"/>
          <w:lang w:val="fr-FR"/>
        </w:rPr>
        <w:t xml:space="preserve">Un exercice de ce type, qui confrontait le Conseil à un scénario complexe combinant dimensions humanitaire et maritime, </w:t>
      </w:r>
      <w:r w:rsidRPr="007650B5">
        <w:rPr>
          <w:rFonts w:ascii="Arial" w:hAnsi="Arial" w:cs="Arial"/>
          <w:lang w:val="fr-FR"/>
        </w:rPr>
        <w:t xml:space="preserve">a eu </w:t>
      </w:r>
      <w:r w:rsidR="00491441" w:rsidRPr="007650B5">
        <w:rPr>
          <w:rFonts w:ascii="Arial" w:hAnsi="Arial" w:cs="Arial"/>
          <w:lang w:val="fr-FR"/>
        </w:rPr>
        <w:t>lieu du 4 au 10 </w:t>
      </w:r>
      <w:r w:rsidR="004133EC" w:rsidRPr="007650B5">
        <w:rPr>
          <w:rFonts w:ascii="Arial" w:hAnsi="Arial" w:cs="Arial"/>
          <w:lang w:val="fr-FR"/>
        </w:rPr>
        <w:t>mars </w:t>
      </w:r>
      <w:r w:rsidR="007650B5" w:rsidRPr="007650B5">
        <w:rPr>
          <w:rFonts w:ascii="Arial" w:hAnsi="Arial" w:cs="Arial"/>
          <w:lang w:val="fr-FR"/>
        </w:rPr>
        <w:t xml:space="preserve">2016. </w:t>
      </w:r>
      <w:r w:rsidRPr="007650B5">
        <w:rPr>
          <w:rFonts w:ascii="Arial" w:hAnsi="Arial" w:cs="Arial"/>
          <w:lang w:val="fr-FR"/>
        </w:rPr>
        <w:t xml:space="preserve">Ce scénario de crise basé sur la réalité de la situation en Méditerranée orientale devait </w:t>
      </w:r>
      <w:r w:rsidR="00055B06" w:rsidRPr="007650B5">
        <w:rPr>
          <w:rFonts w:ascii="Arial" w:hAnsi="Arial" w:cs="Arial"/>
          <w:lang w:val="fr-FR"/>
        </w:rPr>
        <w:t>permettre de</w:t>
      </w:r>
      <w:r w:rsidRPr="007650B5">
        <w:rPr>
          <w:rFonts w:ascii="Arial" w:hAnsi="Arial" w:cs="Arial"/>
          <w:lang w:val="fr-FR"/>
        </w:rPr>
        <w:t xml:space="preserve"> faire le point sur les problèmes que les décideurs politiques de l’OTAN pourraient rencontrer face à une demande d’aide </w:t>
      </w:r>
      <w:r w:rsidR="00055B06" w:rsidRPr="007650B5">
        <w:rPr>
          <w:rFonts w:ascii="Arial" w:hAnsi="Arial" w:cs="Arial"/>
          <w:lang w:val="fr-FR"/>
        </w:rPr>
        <w:t>formulée</w:t>
      </w:r>
      <w:r w:rsidRPr="007650B5">
        <w:rPr>
          <w:rFonts w:ascii="Arial" w:hAnsi="Arial" w:cs="Arial"/>
          <w:lang w:val="fr-FR"/>
        </w:rPr>
        <w:t xml:space="preserve"> par les Nations </w:t>
      </w:r>
      <w:r w:rsidR="00491441" w:rsidRPr="007650B5">
        <w:rPr>
          <w:rFonts w:ascii="Arial" w:hAnsi="Arial" w:cs="Arial"/>
          <w:lang w:val="fr-FR"/>
        </w:rPr>
        <w:t>u</w:t>
      </w:r>
      <w:r w:rsidRPr="007650B5">
        <w:rPr>
          <w:rFonts w:ascii="Arial" w:hAnsi="Arial" w:cs="Arial"/>
          <w:lang w:val="fr-FR"/>
        </w:rPr>
        <w:t>nies, ou à une situation d’urgence relevant de l’article 4.</w:t>
      </w:r>
    </w:p>
    <w:p w14:paraId="4C75736D" w14:textId="77777777" w:rsidR="00C02C3A" w:rsidRPr="007650B5" w:rsidRDefault="00C02C3A" w:rsidP="007650B5"/>
    <w:p w14:paraId="50D9F7A3" w14:textId="4ED302D3" w:rsidR="00D55FEA" w:rsidRPr="00963572" w:rsidRDefault="00055B06"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La contribution importante des </w:t>
      </w:r>
      <w:proofErr w:type="spellStart"/>
      <w:r w:rsidR="00D55FEA" w:rsidRPr="00963572">
        <w:rPr>
          <w:rFonts w:ascii="Arial" w:hAnsi="Arial" w:cs="Arial"/>
          <w:lang w:val="fr-FR"/>
        </w:rPr>
        <w:t>cybercapacités</w:t>
      </w:r>
      <w:proofErr w:type="spellEnd"/>
      <w:r w:rsidR="00D55FEA" w:rsidRPr="00963572">
        <w:rPr>
          <w:rFonts w:ascii="Arial" w:hAnsi="Arial" w:cs="Arial"/>
          <w:lang w:val="fr-FR"/>
        </w:rPr>
        <w:t xml:space="preserve"> </w:t>
      </w:r>
      <w:r w:rsidRPr="00963572">
        <w:rPr>
          <w:rFonts w:ascii="Arial" w:hAnsi="Arial" w:cs="Arial"/>
          <w:lang w:val="fr-FR"/>
        </w:rPr>
        <w:t xml:space="preserve">à </w:t>
      </w:r>
      <w:r w:rsidR="00D55FEA" w:rsidRPr="00963572">
        <w:rPr>
          <w:rFonts w:ascii="Arial" w:hAnsi="Arial" w:cs="Arial"/>
          <w:lang w:val="fr-FR"/>
        </w:rPr>
        <w:t xml:space="preserve">la connaissance de la situation </w:t>
      </w:r>
      <w:r w:rsidRPr="00963572">
        <w:rPr>
          <w:rFonts w:ascii="Arial" w:hAnsi="Arial" w:cs="Arial"/>
          <w:lang w:val="fr-FR"/>
        </w:rPr>
        <w:t>est évoquée ci-après</w:t>
      </w:r>
      <w:r w:rsidR="00D55FEA" w:rsidRPr="00963572">
        <w:rPr>
          <w:rFonts w:ascii="Arial" w:hAnsi="Arial" w:cs="Arial"/>
          <w:lang w:val="fr-FR"/>
        </w:rPr>
        <w:t xml:space="preserve">. </w:t>
      </w:r>
    </w:p>
    <w:p w14:paraId="54FDF64A" w14:textId="77777777" w:rsidR="00C02C3A" w:rsidRPr="00873F20" w:rsidRDefault="00C02C3A" w:rsidP="00C02C3A">
      <w:pPr>
        <w:outlineLvl w:val="1"/>
        <w:rPr>
          <w:i/>
        </w:rPr>
      </w:pPr>
    </w:p>
    <w:p w14:paraId="2DDE5910" w14:textId="5452502E" w:rsidR="00D55FEA" w:rsidRPr="00873F20" w:rsidRDefault="007650B5" w:rsidP="00AB6650">
      <w:pPr>
        <w:pStyle w:val="Heading2"/>
        <w:numPr>
          <w:ilvl w:val="0"/>
          <w:numId w:val="0"/>
        </w:numPr>
        <w:tabs>
          <w:tab w:val="clear" w:pos="567"/>
        </w:tabs>
        <w:ind w:left="567"/>
      </w:pPr>
      <w:bookmarkStart w:id="17" w:name="_Toc464810724"/>
      <w:r>
        <w:t>F.</w:t>
      </w:r>
      <w:r w:rsidR="00AB6650" w:rsidRPr="00873F20">
        <w:tab/>
      </w:r>
      <w:r w:rsidR="00D55FEA" w:rsidRPr="00873F20">
        <w:t>Cyberdynamisme et r</w:t>
      </w:r>
      <w:r w:rsidR="00D859A6" w:rsidRPr="00873F20">
        <w:t>É</w:t>
      </w:r>
      <w:r w:rsidR="00D55FEA" w:rsidRPr="00873F20">
        <w:t>silience</w:t>
      </w:r>
      <w:bookmarkEnd w:id="17"/>
    </w:p>
    <w:p w14:paraId="460B8F08" w14:textId="77777777" w:rsidR="00C02C3A" w:rsidRPr="00873F20" w:rsidRDefault="00C02C3A" w:rsidP="00C02C3A"/>
    <w:p w14:paraId="447B060A" w14:textId="50958861"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7650B5">
        <w:rPr>
          <w:rFonts w:ascii="Arial" w:hAnsi="Arial" w:cs="Arial"/>
          <w:lang w:val="fr-FR"/>
        </w:rPr>
        <w:t xml:space="preserve">L’OTAN fait appel </w:t>
      </w:r>
      <w:r w:rsidR="00CE17F8" w:rsidRPr="007650B5">
        <w:rPr>
          <w:rFonts w:ascii="Arial" w:hAnsi="Arial" w:cs="Arial"/>
          <w:lang w:val="fr-FR"/>
        </w:rPr>
        <w:t xml:space="preserve">au </w:t>
      </w:r>
      <w:proofErr w:type="spellStart"/>
      <w:r w:rsidR="00CE17F8" w:rsidRPr="007650B5">
        <w:rPr>
          <w:rFonts w:ascii="Arial" w:hAnsi="Arial" w:cs="Arial"/>
          <w:lang w:val="fr-FR"/>
        </w:rPr>
        <w:t>cyberdomaine</w:t>
      </w:r>
      <w:proofErr w:type="spellEnd"/>
      <w:r w:rsidRPr="007650B5">
        <w:rPr>
          <w:rFonts w:ascii="Arial" w:hAnsi="Arial" w:cs="Arial"/>
          <w:lang w:val="fr-FR"/>
        </w:rPr>
        <w:t xml:space="preserve"> pour le fonctionnement de ses systèmes et applications militaires, comme le réseau à grande distance </w:t>
      </w:r>
      <w:r w:rsidRPr="007650B5">
        <w:rPr>
          <w:rFonts w:ascii="Arial" w:hAnsi="Arial" w:cs="Arial"/>
          <w:i/>
          <w:lang w:val="fr-FR"/>
        </w:rPr>
        <w:t>NATO Secret</w:t>
      </w:r>
      <w:r w:rsidRPr="007650B5">
        <w:rPr>
          <w:rFonts w:ascii="Arial" w:hAnsi="Arial" w:cs="Arial"/>
          <w:lang w:val="fr-FR"/>
        </w:rPr>
        <w:t xml:space="preserve">, le système de défense aérienne et antimissile intégrée, la mise en commun des informations de détection lointaine, le système de commandement et de contrôle aériens et la capacité </w:t>
      </w:r>
      <w:r w:rsidR="007650B5">
        <w:rPr>
          <w:rFonts w:ascii="Arial" w:hAnsi="Arial" w:cs="Arial"/>
          <w:lang w:val="fr-FR"/>
        </w:rPr>
        <w:t xml:space="preserve">provisoire </w:t>
      </w:r>
      <w:r w:rsidRPr="007650B5">
        <w:rPr>
          <w:rFonts w:ascii="Arial" w:hAnsi="Arial" w:cs="Arial"/>
          <w:lang w:val="fr-FR"/>
        </w:rPr>
        <w:t xml:space="preserve">offerte par le Centre multinational d’opérations aériennes. </w:t>
      </w:r>
      <w:r w:rsidRPr="00963572">
        <w:rPr>
          <w:rFonts w:ascii="Arial" w:hAnsi="Arial" w:cs="Arial"/>
          <w:lang w:val="fr-FR"/>
        </w:rPr>
        <w:t>Ces facilitateurs militaires présentent des avantages considérables à tous les niveaux, en ce sens qu’ils donnent, aux commandants, les moyens de prendre des décisions rapides et de communiquer leurs intentions, et aux forces, la possibilité de produire des effets moyennant des délais qui</w:t>
      </w:r>
      <w:r w:rsidR="00491441" w:rsidRPr="00963572">
        <w:rPr>
          <w:rFonts w:ascii="Arial" w:hAnsi="Arial" w:cs="Arial"/>
          <w:lang w:val="fr-FR"/>
        </w:rPr>
        <w:t>,</w:t>
      </w:r>
      <w:r w:rsidRPr="00963572">
        <w:rPr>
          <w:rFonts w:ascii="Arial" w:hAnsi="Arial" w:cs="Arial"/>
          <w:lang w:val="fr-FR"/>
        </w:rPr>
        <w:t xml:space="preserve"> </w:t>
      </w:r>
      <w:r w:rsidR="0038588C" w:rsidRPr="00963572">
        <w:rPr>
          <w:rFonts w:ascii="Arial" w:hAnsi="Arial" w:cs="Arial"/>
          <w:lang w:val="fr-FR"/>
        </w:rPr>
        <w:t>jusque-là</w:t>
      </w:r>
      <w:r w:rsidR="00491441" w:rsidRPr="00963572">
        <w:rPr>
          <w:rFonts w:ascii="Arial" w:hAnsi="Arial" w:cs="Arial"/>
          <w:lang w:val="fr-FR"/>
        </w:rPr>
        <w:t>,</w:t>
      </w:r>
      <w:r w:rsidRPr="00963572">
        <w:rPr>
          <w:rFonts w:ascii="Arial" w:hAnsi="Arial" w:cs="Arial"/>
          <w:lang w:val="fr-FR"/>
        </w:rPr>
        <w:t xml:space="preserve"> dépassaient l’imagination. Cela étant, la connectivité qui en résulte constitue également une grande vulnérabilité (Larsen, 2016 ; </w:t>
      </w:r>
      <w:proofErr w:type="spellStart"/>
      <w:r w:rsidRPr="00963572">
        <w:rPr>
          <w:rFonts w:ascii="Arial" w:hAnsi="Arial" w:cs="Arial"/>
          <w:lang w:val="fr-FR"/>
        </w:rPr>
        <w:t>Ulgen</w:t>
      </w:r>
      <w:proofErr w:type="spellEnd"/>
      <w:r w:rsidRPr="00963572">
        <w:rPr>
          <w:rFonts w:ascii="Arial" w:hAnsi="Arial" w:cs="Arial"/>
          <w:lang w:val="fr-FR"/>
        </w:rPr>
        <w:t>, 2016).</w:t>
      </w:r>
    </w:p>
    <w:p w14:paraId="3EA38932" w14:textId="77777777" w:rsidR="00C02C3A" w:rsidRPr="007650B5" w:rsidRDefault="00C02C3A" w:rsidP="007650B5"/>
    <w:p w14:paraId="22D31BA8" w14:textId="3596AAF1"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Les adversaires de l’OTAN </w:t>
      </w:r>
      <w:r w:rsidR="00055B06" w:rsidRPr="00963572">
        <w:rPr>
          <w:rFonts w:ascii="Arial" w:hAnsi="Arial" w:cs="Arial"/>
          <w:lang w:val="fr-FR"/>
        </w:rPr>
        <w:t>exploitent le</w:t>
      </w:r>
      <w:r w:rsidRPr="00963572">
        <w:rPr>
          <w:rFonts w:ascii="Arial" w:hAnsi="Arial" w:cs="Arial"/>
          <w:lang w:val="fr-FR"/>
        </w:rPr>
        <w:t xml:space="preserve"> </w:t>
      </w:r>
      <w:proofErr w:type="spellStart"/>
      <w:r w:rsidRPr="00963572">
        <w:rPr>
          <w:rFonts w:ascii="Arial" w:hAnsi="Arial" w:cs="Arial"/>
          <w:lang w:val="fr-FR"/>
        </w:rPr>
        <w:t>cyberdomaine</w:t>
      </w:r>
      <w:proofErr w:type="spellEnd"/>
      <w:r w:rsidRPr="00963572">
        <w:rPr>
          <w:rFonts w:ascii="Arial" w:hAnsi="Arial" w:cs="Arial"/>
          <w:lang w:val="fr-FR"/>
        </w:rPr>
        <w:t xml:space="preserve"> pour s’en prendre à l’Alliance et à ses </w:t>
      </w:r>
      <w:r w:rsidR="00E11330" w:rsidRPr="00963572">
        <w:rPr>
          <w:rFonts w:ascii="Arial" w:hAnsi="Arial" w:cs="Arial"/>
          <w:lang w:val="fr-FR"/>
        </w:rPr>
        <w:t>État</w:t>
      </w:r>
      <w:r w:rsidRPr="00963572">
        <w:rPr>
          <w:rFonts w:ascii="Arial" w:hAnsi="Arial" w:cs="Arial"/>
          <w:lang w:val="fr-FR"/>
        </w:rPr>
        <w:t xml:space="preserve">s membres. </w:t>
      </w:r>
      <w:r w:rsidR="00055B06" w:rsidRPr="00963572">
        <w:rPr>
          <w:rFonts w:ascii="Arial" w:hAnsi="Arial" w:cs="Arial"/>
          <w:lang w:val="fr-FR"/>
        </w:rPr>
        <w:t>L</w:t>
      </w:r>
      <w:r w:rsidRPr="00963572">
        <w:rPr>
          <w:rFonts w:ascii="Arial" w:hAnsi="Arial" w:cs="Arial"/>
          <w:lang w:val="fr-FR"/>
        </w:rPr>
        <w:t xml:space="preserve">’Organisation a </w:t>
      </w:r>
      <w:r w:rsidR="004133EC" w:rsidRPr="00963572">
        <w:rPr>
          <w:rFonts w:ascii="Arial" w:hAnsi="Arial" w:cs="Arial"/>
          <w:lang w:val="fr-FR"/>
        </w:rPr>
        <w:t>considéré</w:t>
      </w:r>
      <w:r w:rsidR="00055B06" w:rsidRPr="00963572">
        <w:rPr>
          <w:rFonts w:ascii="Arial" w:hAnsi="Arial" w:cs="Arial"/>
          <w:lang w:val="fr-FR"/>
        </w:rPr>
        <w:t xml:space="preserve">, au pays de Galles, </w:t>
      </w:r>
      <w:r w:rsidRPr="00963572">
        <w:rPr>
          <w:rFonts w:ascii="Arial" w:hAnsi="Arial" w:cs="Arial"/>
          <w:lang w:val="fr-FR"/>
        </w:rPr>
        <w:t xml:space="preserve">que </w:t>
      </w:r>
      <w:r w:rsidR="002440C0" w:rsidRPr="00963572">
        <w:rPr>
          <w:rFonts w:ascii="Arial" w:hAnsi="Arial" w:cs="Arial"/>
          <w:lang w:val="fr-FR"/>
        </w:rPr>
        <w:t xml:space="preserve">les cyberattaques faisaient peser </w:t>
      </w:r>
      <w:r w:rsidRPr="00963572">
        <w:rPr>
          <w:rFonts w:ascii="Arial" w:hAnsi="Arial" w:cs="Arial"/>
          <w:lang w:val="fr-FR"/>
        </w:rPr>
        <w:t xml:space="preserve">sur la prospérité, </w:t>
      </w:r>
      <w:r w:rsidR="002440C0" w:rsidRPr="00963572">
        <w:rPr>
          <w:rFonts w:ascii="Arial" w:hAnsi="Arial" w:cs="Arial"/>
          <w:lang w:val="fr-FR"/>
        </w:rPr>
        <w:t xml:space="preserve">sur </w:t>
      </w:r>
      <w:r w:rsidRPr="00963572">
        <w:rPr>
          <w:rFonts w:ascii="Arial" w:hAnsi="Arial" w:cs="Arial"/>
          <w:lang w:val="fr-FR"/>
        </w:rPr>
        <w:t xml:space="preserve">la sécurité et </w:t>
      </w:r>
      <w:r w:rsidR="002440C0" w:rsidRPr="00963572">
        <w:rPr>
          <w:rFonts w:ascii="Arial" w:hAnsi="Arial" w:cs="Arial"/>
          <w:lang w:val="fr-FR"/>
        </w:rPr>
        <w:t xml:space="preserve">sur </w:t>
      </w:r>
      <w:r w:rsidRPr="00963572">
        <w:rPr>
          <w:rFonts w:ascii="Arial" w:hAnsi="Arial" w:cs="Arial"/>
          <w:lang w:val="fr-FR"/>
        </w:rPr>
        <w:t xml:space="preserve">la stabilité atlantiques </w:t>
      </w:r>
      <w:r w:rsidR="002440C0" w:rsidRPr="00963572">
        <w:rPr>
          <w:rFonts w:ascii="Arial" w:hAnsi="Arial" w:cs="Arial"/>
          <w:lang w:val="fr-FR"/>
        </w:rPr>
        <w:t xml:space="preserve">une menace </w:t>
      </w:r>
      <w:r w:rsidR="00CE17F8" w:rsidRPr="00963572">
        <w:rPr>
          <w:rFonts w:ascii="Arial" w:hAnsi="Arial" w:cs="Arial"/>
          <w:lang w:val="fr-FR"/>
        </w:rPr>
        <w:t xml:space="preserve">comparable à celle </w:t>
      </w:r>
      <w:r w:rsidR="002440C0" w:rsidRPr="00963572">
        <w:rPr>
          <w:rFonts w:ascii="Arial" w:hAnsi="Arial" w:cs="Arial"/>
          <w:lang w:val="fr-FR"/>
        </w:rPr>
        <w:t xml:space="preserve">liées aux </w:t>
      </w:r>
      <w:r w:rsidR="00CE17F8" w:rsidRPr="00963572">
        <w:rPr>
          <w:rFonts w:ascii="Arial" w:hAnsi="Arial" w:cs="Arial"/>
          <w:lang w:val="fr-FR"/>
        </w:rPr>
        <w:t xml:space="preserve">attaques conventionnelles, </w:t>
      </w:r>
      <w:r w:rsidR="00055B06" w:rsidRPr="00963572">
        <w:rPr>
          <w:rFonts w:ascii="Arial" w:hAnsi="Arial" w:cs="Arial"/>
          <w:lang w:val="fr-FR"/>
        </w:rPr>
        <w:t xml:space="preserve">ce qui l’a amenée à intégrer </w:t>
      </w:r>
      <w:r w:rsidR="00CE17F8" w:rsidRPr="00963572">
        <w:rPr>
          <w:rFonts w:ascii="Arial" w:hAnsi="Arial" w:cs="Arial"/>
          <w:lang w:val="fr-FR"/>
        </w:rPr>
        <w:t xml:space="preserve">la cyberdéfense dans sa mission de </w:t>
      </w:r>
      <w:r w:rsidRPr="00963572">
        <w:rPr>
          <w:rFonts w:ascii="Arial" w:hAnsi="Arial" w:cs="Arial"/>
          <w:lang w:val="fr-FR"/>
        </w:rPr>
        <w:t>défense collective. Toute décision d’invoquer l’</w:t>
      </w:r>
      <w:r w:rsidR="00A87841" w:rsidRPr="00963572">
        <w:rPr>
          <w:rFonts w:ascii="Arial" w:hAnsi="Arial" w:cs="Arial"/>
          <w:lang w:val="fr-FR"/>
        </w:rPr>
        <w:t>article 5</w:t>
      </w:r>
      <w:r w:rsidRPr="00963572">
        <w:rPr>
          <w:rFonts w:ascii="Arial" w:hAnsi="Arial" w:cs="Arial"/>
          <w:lang w:val="fr-FR"/>
        </w:rPr>
        <w:t xml:space="preserve"> dans ce contexte doit toutefois être prise par le Conseil au cas par cas.</w:t>
      </w:r>
    </w:p>
    <w:p w14:paraId="17D8C35E" w14:textId="77777777" w:rsidR="00C02C3A" w:rsidRPr="007650B5" w:rsidRDefault="00C02C3A" w:rsidP="007650B5"/>
    <w:p w14:paraId="71CB9DA0" w14:textId="779C7888"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Un lien étroit existe, dans le </w:t>
      </w:r>
      <w:proofErr w:type="spellStart"/>
      <w:r w:rsidRPr="00963572">
        <w:rPr>
          <w:rFonts w:ascii="Arial" w:hAnsi="Arial" w:cs="Arial"/>
          <w:lang w:val="fr-FR"/>
        </w:rPr>
        <w:t>cyberdomaine</w:t>
      </w:r>
      <w:proofErr w:type="spellEnd"/>
      <w:r w:rsidRPr="00963572">
        <w:rPr>
          <w:rFonts w:ascii="Arial" w:hAnsi="Arial" w:cs="Arial"/>
          <w:lang w:val="fr-FR"/>
        </w:rPr>
        <w:t>, entre perspectives offensive et défensive. Une défense efficace repose en effet sur une connaissance poussée des vulnérabilités d’un système et l’exploitation que l’on peut en faire, et traiter de ces questions amène logiquement à réfléchir en termes de capacités offensives. Certains observateurs ont dès lors insisté pour qu’au-delà de la protection renforcée des systèmes OTAN face aux cyberattaques menées par des adversaires, on cherche à tirer parti des moyens mis en œuvre à cette fin pour décourager ou prévenir des attaques contre</w:t>
      </w:r>
      <w:r w:rsidR="00491441" w:rsidRPr="00963572">
        <w:rPr>
          <w:rFonts w:ascii="Arial" w:hAnsi="Arial" w:cs="Arial"/>
          <w:lang w:val="fr-FR"/>
        </w:rPr>
        <w:t xml:space="preserve"> les systèmes </w:t>
      </w:r>
      <w:r w:rsidRPr="00963572">
        <w:rPr>
          <w:rFonts w:ascii="Arial" w:hAnsi="Arial" w:cs="Arial"/>
          <w:lang w:val="fr-FR"/>
        </w:rPr>
        <w:t>informatique</w:t>
      </w:r>
      <w:r w:rsidR="00491441" w:rsidRPr="00963572">
        <w:rPr>
          <w:rFonts w:ascii="Arial" w:hAnsi="Arial" w:cs="Arial"/>
          <w:lang w:val="fr-FR"/>
        </w:rPr>
        <w:t>s</w:t>
      </w:r>
      <w:r w:rsidRPr="00963572">
        <w:rPr>
          <w:rFonts w:ascii="Arial" w:hAnsi="Arial" w:cs="Arial"/>
          <w:lang w:val="fr-FR"/>
        </w:rPr>
        <w:t xml:space="preserve"> </w:t>
      </w:r>
      <w:r w:rsidR="00491441" w:rsidRPr="00963572">
        <w:rPr>
          <w:rFonts w:ascii="Arial" w:hAnsi="Arial" w:cs="Arial"/>
          <w:lang w:val="fr-FR"/>
        </w:rPr>
        <w:t>de l’</w:t>
      </w:r>
      <w:r w:rsidRPr="00963572">
        <w:rPr>
          <w:rFonts w:ascii="Arial" w:hAnsi="Arial" w:cs="Arial"/>
          <w:lang w:val="fr-FR"/>
        </w:rPr>
        <w:t xml:space="preserve">OTAN (Monaco, 2016). D’autres ont </w:t>
      </w:r>
      <w:r w:rsidR="002440C0" w:rsidRPr="00963572">
        <w:rPr>
          <w:rFonts w:ascii="Arial" w:hAnsi="Arial" w:cs="Arial"/>
          <w:lang w:val="fr-FR"/>
        </w:rPr>
        <w:t>épinglé</w:t>
      </w:r>
      <w:r w:rsidRPr="00963572">
        <w:rPr>
          <w:rFonts w:ascii="Arial" w:hAnsi="Arial" w:cs="Arial"/>
          <w:lang w:val="fr-FR"/>
        </w:rPr>
        <w:t xml:space="preserve"> les possibilités qu’offriraient des capacités </w:t>
      </w:r>
      <w:proofErr w:type="spellStart"/>
      <w:r w:rsidRPr="00963572">
        <w:rPr>
          <w:rFonts w:ascii="Arial" w:hAnsi="Arial" w:cs="Arial"/>
          <w:lang w:val="fr-FR"/>
        </w:rPr>
        <w:t>cyberoffensives</w:t>
      </w:r>
      <w:proofErr w:type="spellEnd"/>
      <w:r w:rsidRPr="00963572">
        <w:rPr>
          <w:rFonts w:ascii="Arial" w:hAnsi="Arial" w:cs="Arial"/>
          <w:lang w:val="fr-FR"/>
        </w:rPr>
        <w:t xml:space="preserve"> OTAN dans le cadre d’une </w:t>
      </w:r>
      <w:r w:rsidR="00DD0407" w:rsidRPr="00963572">
        <w:rPr>
          <w:rFonts w:ascii="Arial" w:hAnsi="Arial" w:cs="Arial"/>
          <w:lang w:val="fr-FR"/>
        </w:rPr>
        <w:t>opération relevant de l’</w:t>
      </w:r>
      <w:r w:rsidR="00B10E64">
        <w:rPr>
          <w:rFonts w:ascii="Arial" w:hAnsi="Arial" w:cs="Arial"/>
          <w:lang w:val="fr-FR"/>
        </w:rPr>
        <w:t>article </w:t>
      </w:r>
      <w:r w:rsidR="00A87841" w:rsidRPr="00963572">
        <w:rPr>
          <w:rFonts w:ascii="Arial" w:hAnsi="Arial" w:cs="Arial"/>
          <w:lang w:val="fr-FR"/>
        </w:rPr>
        <w:t>5</w:t>
      </w:r>
      <w:r w:rsidRPr="00963572">
        <w:rPr>
          <w:rFonts w:ascii="Arial" w:hAnsi="Arial" w:cs="Arial"/>
          <w:lang w:val="fr-FR"/>
        </w:rPr>
        <w:t xml:space="preserve"> (Lewis, 2015).</w:t>
      </w:r>
    </w:p>
    <w:p w14:paraId="2B6AF0F9" w14:textId="77777777" w:rsidR="00C02C3A" w:rsidRPr="007650B5" w:rsidRDefault="00C02C3A" w:rsidP="007650B5"/>
    <w:p w14:paraId="40AB3F06" w14:textId="5172B17A" w:rsidR="00D55FEA" w:rsidRPr="00963572" w:rsidRDefault="00491441"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À</w:t>
      </w:r>
      <w:r w:rsidR="00D55FEA" w:rsidRPr="00963572">
        <w:rPr>
          <w:rFonts w:ascii="Arial" w:hAnsi="Arial" w:cs="Arial"/>
          <w:lang w:val="fr-FR"/>
        </w:rPr>
        <w:t xml:space="preserve"> ce jour, l’OTAN s’est abstenue de mener des </w:t>
      </w:r>
      <w:proofErr w:type="spellStart"/>
      <w:r w:rsidR="00D55FEA" w:rsidRPr="00963572">
        <w:rPr>
          <w:rFonts w:ascii="Arial" w:hAnsi="Arial" w:cs="Arial"/>
          <w:lang w:val="fr-FR"/>
        </w:rPr>
        <w:t>cyberopérations</w:t>
      </w:r>
      <w:proofErr w:type="spellEnd"/>
      <w:r w:rsidR="00D55FEA" w:rsidRPr="00963572">
        <w:rPr>
          <w:rFonts w:ascii="Arial" w:hAnsi="Arial" w:cs="Arial"/>
          <w:lang w:val="fr-FR"/>
        </w:rPr>
        <w:t xml:space="preserve"> à caractère offensif. Mais à l’heure où le </w:t>
      </w:r>
      <w:proofErr w:type="spellStart"/>
      <w:r w:rsidR="00D55FEA" w:rsidRPr="00963572">
        <w:rPr>
          <w:rFonts w:ascii="Arial" w:hAnsi="Arial" w:cs="Arial"/>
          <w:lang w:val="fr-FR"/>
        </w:rPr>
        <w:t>cyberarsenal</w:t>
      </w:r>
      <w:proofErr w:type="spellEnd"/>
      <w:r w:rsidR="00D55FEA" w:rsidRPr="00963572">
        <w:rPr>
          <w:rFonts w:ascii="Arial" w:hAnsi="Arial" w:cs="Arial"/>
          <w:lang w:val="fr-FR"/>
        </w:rPr>
        <w:t xml:space="preserve"> des adversaires se renforce, et alors que l’Alliance se voit forcée </w:t>
      </w:r>
      <w:r w:rsidR="002440C0" w:rsidRPr="00963572">
        <w:rPr>
          <w:rFonts w:ascii="Arial" w:hAnsi="Arial" w:cs="Arial"/>
          <w:lang w:val="fr-FR"/>
        </w:rPr>
        <w:t xml:space="preserve">d’évoluer au même rythme que le </w:t>
      </w:r>
      <w:r w:rsidR="00D55FEA" w:rsidRPr="00963572">
        <w:rPr>
          <w:rFonts w:ascii="Arial" w:hAnsi="Arial" w:cs="Arial"/>
          <w:lang w:val="fr-FR"/>
        </w:rPr>
        <w:t xml:space="preserve">panorama de la menace, </w:t>
      </w:r>
      <w:r w:rsidR="002440C0" w:rsidRPr="00963572">
        <w:rPr>
          <w:rFonts w:ascii="Arial" w:hAnsi="Arial" w:cs="Arial"/>
          <w:lang w:val="fr-FR"/>
        </w:rPr>
        <w:t>l’Organisation</w:t>
      </w:r>
      <w:r w:rsidR="00D55FEA" w:rsidRPr="00963572">
        <w:rPr>
          <w:rFonts w:ascii="Arial" w:hAnsi="Arial" w:cs="Arial"/>
          <w:lang w:val="fr-FR"/>
        </w:rPr>
        <w:t xml:space="preserve"> pourrait être amenée à se doter de </w:t>
      </w:r>
      <w:proofErr w:type="spellStart"/>
      <w:r w:rsidR="00D55FEA" w:rsidRPr="00963572">
        <w:rPr>
          <w:rFonts w:ascii="Arial" w:hAnsi="Arial" w:cs="Arial"/>
          <w:lang w:val="fr-FR"/>
        </w:rPr>
        <w:t>cybercapacités</w:t>
      </w:r>
      <w:proofErr w:type="spellEnd"/>
      <w:r w:rsidR="00D55FEA" w:rsidRPr="00963572">
        <w:rPr>
          <w:rFonts w:ascii="Arial" w:hAnsi="Arial" w:cs="Arial"/>
          <w:lang w:val="fr-FR"/>
        </w:rPr>
        <w:t xml:space="preserve"> offensives. </w:t>
      </w:r>
    </w:p>
    <w:p w14:paraId="049D965C" w14:textId="77777777" w:rsidR="00C02C3A" w:rsidRPr="007650B5" w:rsidRDefault="00C02C3A" w:rsidP="007650B5"/>
    <w:p w14:paraId="2C9DFE59" w14:textId="01391281"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Les </w:t>
      </w:r>
      <w:proofErr w:type="spellStart"/>
      <w:r w:rsidRPr="00963572">
        <w:rPr>
          <w:rFonts w:ascii="Arial" w:hAnsi="Arial" w:cs="Arial"/>
          <w:lang w:val="fr-FR"/>
        </w:rPr>
        <w:t>cybercapacités</w:t>
      </w:r>
      <w:proofErr w:type="spellEnd"/>
      <w:r w:rsidRPr="00963572">
        <w:rPr>
          <w:rFonts w:ascii="Arial" w:hAnsi="Arial" w:cs="Arial"/>
          <w:lang w:val="fr-FR"/>
        </w:rPr>
        <w:t xml:space="preserve"> </w:t>
      </w:r>
      <w:r w:rsidR="004133EC" w:rsidRPr="00963572">
        <w:rPr>
          <w:rFonts w:ascii="Arial" w:hAnsi="Arial" w:cs="Arial"/>
          <w:lang w:val="fr-FR"/>
        </w:rPr>
        <w:t>n’en finissent pas de progresser</w:t>
      </w:r>
      <w:r w:rsidRPr="00963572">
        <w:rPr>
          <w:rFonts w:ascii="Arial" w:hAnsi="Arial" w:cs="Arial"/>
          <w:lang w:val="fr-FR"/>
        </w:rPr>
        <w:t xml:space="preserve">, et les problèmes restent donc nombreux, le plus important d’entre eux étant l’attribution </w:t>
      </w:r>
      <w:r w:rsidR="00491441" w:rsidRPr="00963572">
        <w:rPr>
          <w:rFonts w:ascii="Arial" w:hAnsi="Arial" w:cs="Arial"/>
          <w:lang w:val="fr-FR"/>
        </w:rPr>
        <w:t>d’une cyberattaque</w:t>
      </w:r>
      <w:r w:rsidRPr="00963572">
        <w:rPr>
          <w:rFonts w:ascii="Arial" w:hAnsi="Arial" w:cs="Arial"/>
          <w:lang w:val="fr-FR"/>
        </w:rPr>
        <w:t>. Il est en effet considérablement plus difficile, contrairement à ce qui se passe en cas de conflit conventionnel, de savoir précisément à qui l’on a affaire. Faute de disposer de telles informations, les gouvernements éprouveront de graves difficultés à développer des stratégies de représailles appropriées et crédibles. Cela dit, l’approche globale de l’OTAN en matière de préparation aux cyberattaques a permis d’enregistrer de nets progrès.</w:t>
      </w:r>
    </w:p>
    <w:p w14:paraId="44335547" w14:textId="77777777" w:rsidR="00C02C3A" w:rsidRPr="007650B5" w:rsidRDefault="00C02C3A" w:rsidP="007650B5"/>
    <w:p w14:paraId="005B606F" w14:textId="76CFE637" w:rsidR="00D55FEA" w:rsidRPr="007650B5" w:rsidRDefault="00D55FEA" w:rsidP="00825AB9">
      <w:pPr>
        <w:pStyle w:val="Default"/>
        <w:numPr>
          <w:ilvl w:val="0"/>
          <w:numId w:val="25"/>
        </w:numPr>
        <w:tabs>
          <w:tab w:val="left" w:pos="567"/>
        </w:tabs>
        <w:ind w:left="0" w:firstLine="0"/>
        <w:jc w:val="both"/>
        <w:rPr>
          <w:color w:val="auto"/>
          <w:sz w:val="22"/>
          <w:szCs w:val="22"/>
          <w:lang w:val="fr-FR"/>
        </w:rPr>
      </w:pPr>
      <w:r w:rsidRPr="007650B5">
        <w:rPr>
          <w:color w:val="auto"/>
          <w:sz w:val="22"/>
          <w:szCs w:val="22"/>
          <w:lang w:val="fr-FR"/>
        </w:rPr>
        <w:t xml:space="preserve">Une étude réalisée en 2014 par le Centre interarmées d'analyse et de retour d’expérience (JALLC) de l’OTAN a mis en exergue </w:t>
      </w:r>
      <w:r w:rsidR="00AB6650" w:rsidRPr="007650B5">
        <w:rPr>
          <w:color w:val="auto"/>
          <w:sz w:val="22"/>
          <w:szCs w:val="22"/>
          <w:lang w:val="fr-FR"/>
        </w:rPr>
        <w:t>divers</w:t>
      </w:r>
      <w:r w:rsidRPr="007650B5">
        <w:rPr>
          <w:color w:val="auto"/>
          <w:sz w:val="22"/>
          <w:szCs w:val="22"/>
          <w:lang w:val="fr-FR"/>
        </w:rPr>
        <w:t xml:space="preserve"> problèmes liés </w:t>
      </w:r>
      <w:r w:rsidR="00894AE9" w:rsidRPr="007650B5">
        <w:rPr>
          <w:color w:val="auto"/>
          <w:sz w:val="22"/>
          <w:szCs w:val="22"/>
          <w:lang w:val="fr-FR"/>
        </w:rPr>
        <w:t>à la connaissance de la situation</w:t>
      </w:r>
      <w:r w:rsidRPr="007650B5">
        <w:rPr>
          <w:color w:val="auto"/>
          <w:sz w:val="22"/>
          <w:szCs w:val="22"/>
          <w:lang w:val="fr-FR"/>
        </w:rPr>
        <w:t xml:space="preserve"> en matière de cyberdéfense, et a abouti à l’adoption de </w:t>
      </w:r>
      <w:r w:rsidR="002440C0" w:rsidRPr="007650B5">
        <w:rPr>
          <w:color w:val="auto"/>
          <w:sz w:val="22"/>
          <w:szCs w:val="22"/>
          <w:lang w:val="fr-FR"/>
        </w:rPr>
        <w:t>plusieurs</w:t>
      </w:r>
      <w:r w:rsidRPr="007650B5">
        <w:rPr>
          <w:color w:val="auto"/>
          <w:sz w:val="22"/>
          <w:szCs w:val="22"/>
          <w:lang w:val="fr-FR"/>
        </w:rPr>
        <w:t xml:space="preserve"> mesures. Ainsi, le rapport relevait, au sein de la structure de commandement de l’OTAN (NCS), « une certaine confusion quant aux personnes qui, dans les faits, sont responsables en matière de cyberdéfense, au type d’informations à communiquer et aux destinataires de ces dernières »</w:t>
      </w:r>
      <w:r w:rsidR="00B10E64">
        <w:rPr>
          <w:color w:val="auto"/>
          <w:sz w:val="22"/>
          <w:szCs w:val="22"/>
          <w:lang w:val="fr-FR"/>
        </w:rPr>
        <w:t>.</w:t>
      </w:r>
      <w:r w:rsidRPr="007650B5">
        <w:rPr>
          <w:color w:val="auto"/>
          <w:sz w:val="22"/>
          <w:szCs w:val="22"/>
          <w:lang w:val="fr-FR"/>
        </w:rPr>
        <w:t xml:space="preserve"> Et d’ajouter : « Il apparaît aujourd’hui que les informations relevant de la cyberdéfense ne circulent pas efficacement entre les responsables compétents au sein de la NCS, en général parce que les personnes concernées ne savent pas qui les détient, ni qui en a besoin. Lorsque des canaux de communication ont effectivement été mis en place pour ces informations, leur bon fonctionnement, plutôt que de reposer sur un processus standardisé, semble être avant tout une question de personnes – ce qui signifie que ces canaux risquent de disparaître chaque fois qu’u</w:t>
      </w:r>
      <w:r w:rsidR="00894AE9" w:rsidRPr="007650B5">
        <w:rPr>
          <w:color w:val="auto"/>
          <w:sz w:val="22"/>
          <w:szCs w:val="22"/>
          <w:lang w:val="fr-FR"/>
        </w:rPr>
        <w:t xml:space="preserve">ne rotation arrive à son terme </w:t>
      </w:r>
      <w:r w:rsidRPr="007650B5">
        <w:rPr>
          <w:color w:val="auto"/>
          <w:sz w:val="22"/>
          <w:szCs w:val="22"/>
          <w:lang w:val="fr-FR"/>
        </w:rPr>
        <w:t>» (</w:t>
      </w:r>
      <w:r w:rsidR="00B10E64">
        <w:rPr>
          <w:color w:val="auto"/>
          <w:sz w:val="22"/>
          <w:szCs w:val="22"/>
          <w:lang w:val="fr-FR"/>
        </w:rPr>
        <w:t xml:space="preserve">NATO, </w:t>
      </w:r>
      <w:r w:rsidRPr="007650B5">
        <w:rPr>
          <w:color w:val="auto"/>
          <w:sz w:val="22"/>
          <w:szCs w:val="22"/>
          <w:lang w:val="fr-FR"/>
        </w:rPr>
        <w:t>JALLC).</w:t>
      </w:r>
    </w:p>
    <w:p w14:paraId="4C8F3B6B" w14:textId="77777777" w:rsidR="00D55FEA" w:rsidRPr="007650B5" w:rsidRDefault="00D55FEA" w:rsidP="007650B5"/>
    <w:p w14:paraId="2DE76173" w14:textId="22780895" w:rsidR="00D55FEA" w:rsidRPr="007650B5"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Ce constat appelle clairement à promulguer, à l’échelle de l’Alliance, des instructions permanentes applicables au </w:t>
      </w:r>
      <w:proofErr w:type="spellStart"/>
      <w:r w:rsidRPr="00963572">
        <w:rPr>
          <w:rFonts w:ascii="Arial" w:hAnsi="Arial" w:cs="Arial"/>
          <w:lang w:val="fr-FR"/>
        </w:rPr>
        <w:t>cyberdomaine</w:t>
      </w:r>
      <w:proofErr w:type="spellEnd"/>
      <w:r w:rsidRPr="00963572">
        <w:rPr>
          <w:rFonts w:ascii="Arial" w:hAnsi="Arial" w:cs="Arial"/>
          <w:lang w:val="fr-FR"/>
        </w:rPr>
        <w:t xml:space="preserve">, et il semble bien que certaines mesures allant précisément dans ce sens aient été prises. L’OTAN (plus précisément la capacité OTAN de réaction aux incidents informatiques, ou NCIRC) a ainsi établi des protocoles pour le partage des informations liées à la menace. </w:t>
      </w:r>
      <w:r w:rsidRPr="007650B5">
        <w:rPr>
          <w:rFonts w:ascii="Arial" w:hAnsi="Arial" w:cs="Arial"/>
          <w:lang w:val="fr-FR"/>
        </w:rPr>
        <w:t xml:space="preserve">Le 10 février 2016, la NCIRC signait avec son homologue de l’Union européenne, le CERT (Centre d’alerte et de réaction aux attaques informatiques), un arrangement technique sur la cyberdéfense prévoyant la mise en commun des informations sur les </w:t>
      </w:r>
      <w:proofErr w:type="spellStart"/>
      <w:r w:rsidRPr="007650B5">
        <w:rPr>
          <w:rFonts w:ascii="Arial" w:hAnsi="Arial" w:cs="Arial"/>
          <w:lang w:val="fr-FR"/>
        </w:rPr>
        <w:t>cyberincidents</w:t>
      </w:r>
      <w:proofErr w:type="spellEnd"/>
      <w:r w:rsidRPr="007650B5">
        <w:rPr>
          <w:rFonts w:ascii="Arial" w:hAnsi="Arial" w:cs="Arial"/>
          <w:lang w:val="fr-FR"/>
        </w:rPr>
        <w:t xml:space="preserve"> (</w:t>
      </w:r>
      <w:hyperlink r:id="rId16" w:history="1">
        <w:r w:rsidR="00491441" w:rsidRPr="00FC6E48">
          <w:rPr>
            <w:rStyle w:val="Hyperlink"/>
            <w:rFonts w:ascii="Arial" w:hAnsi="Arial" w:cs="Arial"/>
            <w:color w:val="000000" w:themeColor="text1"/>
            <w:u w:val="none"/>
            <w:lang w:val="fr-FR"/>
          </w:rPr>
          <w:t>OTAN, cyberdéfens</w:t>
        </w:r>
        <w:r w:rsidRPr="00FC6E48">
          <w:rPr>
            <w:rStyle w:val="Hyperlink"/>
            <w:rFonts w:ascii="Arial" w:hAnsi="Arial" w:cs="Arial"/>
            <w:color w:val="000000" w:themeColor="text1"/>
            <w:u w:val="none"/>
            <w:lang w:val="fr-FR"/>
          </w:rPr>
          <w:t>e</w:t>
        </w:r>
      </w:hyperlink>
      <w:r w:rsidRPr="007650B5">
        <w:rPr>
          <w:rFonts w:ascii="Arial" w:hAnsi="Arial" w:cs="Arial"/>
          <w:lang w:val="fr-FR"/>
        </w:rPr>
        <w:t>).</w:t>
      </w:r>
    </w:p>
    <w:p w14:paraId="20923805" w14:textId="77777777" w:rsidR="00D55FEA" w:rsidRPr="007650B5" w:rsidRDefault="00D55FEA" w:rsidP="007650B5"/>
    <w:p w14:paraId="247BD6FC" w14:textId="11613C35"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Cela étant, la politique actuelle de l’Alliance en matière de cyberdéfense (entérinée en juin 2014) </w:t>
      </w:r>
      <w:r w:rsidR="002440C0" w:rsidRPr="00963572">
        <w:rPr>
          <w:rFonts w:ascii="Arial" w:hAnsi="Arial" w:cs="Arial"/>
          <w:lang w:val="fr-FR"/>
        </w:rPr>
        <w:t xml:space="preserve">doit continuer à </w:t>
      </w:r>
      <w:r w:rsidRPr="00963572">
        <w:rPr>
          <w:rFonts w:ascii="Arial" w:hAnsi="Arial" w:cs="Arial"/>
          <w:lang w:val="fr-FR"/>
        </w:rPr>
        <w:t xml:space="preserve">évoluer au même rythme que le panorama de la menace. </w:t>
      </w:r>
      <w:r w:rsidR="002440C0" w:rsidRPr="00963572">
        <w:rPr>
          <w:rFonts w:ascii="Arial" w:hAnsi="Arial" w:cs="Arial"/>
          <w:lang w:val="fr-FR"/>
        </w:rPr>
        <w:t>L</w:t>
      </w:r>
      <w:r w:rsidR="00013893" w:rsidRPr="00963572">
        <w:rPr>
          <w:rFonts w:ascii="Arial" w:hAnsi="Arial" w:cs="Arial"/>
          <w:lang w:val="fr-FR"/>
        </w:rPr>
        <w:t xml:space="preserve">a création d’un </w:t>
      </w:r>
      <w:proofErr w:type="spellStart"/>
      <w:r w:rsidR="00013893" w:rsidRPr="00963572">
        <w:rPr>
          <w:rFonts w:ascii="Arial" w:hAnsi="Arial" w:cs="Arial"/>
          <w:lang w:val="fr-FR"/>
        </w:rPr>
        <w:t>cybercommandement</w:t>
      </w:r>
      <w:proofErr w:type="spellEnd"/>
      <w:r w:rsidR="00013893" w:rsidRPr="00963572">
        <w:rPr>
          <w:rFonts w:ascii="Arial" w:hAnsi="Arial" w:cs="Arial"/>
          <w:lang w:val="fr-FR"/>
        </w:rPr>
        <w:t xml:space="preserve"> dont la structure serait calquée sur le commandement des autres domaines d’opérations de l’OTAN constituerait un excellent point de départ pour des investissements concrets dans les domaines du </w:t>
      </w:r>
      <w:proofErr w:type="spellStart"/>
      <w:r w:rsidR="00013893" w:rsidRPr="00963572">
        <w:rPr>
          <w:rFonts w:ascii="Arial" w:hAnsi="Arial" w:cs="Arial"/>
          <w:lang w:val="fr-FR"/>
        </w:rPr>
        <w:t>cybercommandement</w:t>
      </w:r>
      <w:proofErr w:type="spellEnd"/>
      <w:r w:rsidR="00013893" w:rsidRPr="00963572">
        <w:rPr>
          <w:rFonts w:ascii="Arial" w:hAnsi="Arial" w:cs="Arial"/>
          <w:lang w:val="fr-FR"/>
        </w:rPr>
        <w:t xml:space="preserve"> et du </w:t>
      </w:r>
      <w:proofErr w:type="spellStart"/>
      <w:r w:rsidR="00013893" w:rsidRPr="00963572">
        <w:rPr>
          <w:rFonts w:ascii="Arial" w:hAnsi="Arial" w:cs="Arial"/>
          <w:lang w:val="fr-FR"/>
        </w:rPr>
        <w:t>cybercontrôle</w:t>
      </w:r>
      <w:proofErr w:type="spellEnd"/>
      <w:r w:rsidR="00013893" w:rsidRPr="00963572">
        <w:rPr>
          <w:rFonts w:ascii="Arial" w:hAnsi="Arial" w:cs="Arial"/>
          <w:lang w:val="fr-FR"/>
        </w:rPr>
        <w:t xml:space="preserve">. </w:t>
      </w:r>
    </w:p>
    <w:p w14:paraId="2842A0D2" w14:textId="77777777" w:rsidR="00013893" w:rsidRPr="007650B5" w:rsidRDefault="00013893" w:rsidP="007650B5"/>
    <w:p w14:paraId="1F205702" w14:textId="2C43DF26" w:rsidR="00013893" w:rsidRPr="007650B5" w:rsidRDefault="00013893" w:rsidP="00B10E64">
      <w:pPr>
        <w:pStyle w:val="ListParagraph"/>
        <w:keepNext/>
        <w:keepLines/>
        <w:numPr>
          <w:ilvl w:val="0"/>
          <w:numId w:val="25"/>
        </w:numPr>
        <w:tabs>
          <w:tab w:val="left" w:pos="567"/>
        </w:tabs>
        <w:ind w:left="0" w:firstLine="0"/>
        <w:jc w:val="both"/>
        <w:rPr>
          <w:rFonts w:ascii="Arial" w:hAnsi="Arial" w:cs="Arial"/>
        </w:rPr>
      </w:pPr>
      <w:r w:rsidRPr="00963572">
        <w:rPr>
          <w:rFonts w:ascii="Arial" w:hAnsi="Arial" w:cs="Arial"/>
          <w:lang w:val="fr-FR"/>
        </w:rPr>
        <w:t>Lors du sommet de Varsovie tenu en 2016, l’OTAN a reconnu le cyberespace en tant que domaine officiel d’opérations (</w:t>
      </w:r>
      <w:r w:rsidR="004133EC" w:rsidRPr="00963572">
        <w:rPr>
          <w:rFonts w:ascii="Arial" w:hAnsi="Arial" w:cs="Arial"/>
          <w:lang w:val="fr-FR"/>
        </w:rPr>
        <w:t>NATO</w:t>
      </w:r>
      <w:r w:rsidRPr="00963572">
        <w:rPr>
          <w:rFonts w:ascii="Arial" w:hAnsi="Arial" w:cs="Arial"/>
          <w:lang w:val="fr-FR"/>
        </w:rPr>
        <w:t xml:space="preserve">(a), 2016). </w:t>
      </w:r>
      <w:proofErr w:type="spellStart"/>
      <w:r w:rsidR="0056046F" w:rsidRPr="007650B5">
        <w:rPr>
          <w:rFonts w:ascii="Arial" w:hAnsi="Arial" w:cs="Arial"/>
        </w:rPr>
        <w:t>Cette</w:t>
      </w:r>
      <w:proofErr w:type="spellEnd"/>
      <w:r w:rsidR="0056046F" w:rsidRPr="007650B5">
        <w:rPr>
          <w:rFonts w:ascii="Arial" w:hAnsi="Arial" w:cs="Arial"/>
        </w:rPr>
        <w:t xml:space="preserve"> </w:t>
      </w:r>
      <w:proofErr w:type="spellStart"/>
      <w:r w:rsidR="0056046F" w:rsidRPr="007650B5">
        <w:rPr>
          <w:rFonts w:ascii="Arial" w:hAnsi="Arial" w:cs="Arial"/>
        </w:rPr>
        <w:t>décision</w:t>
      </w:r>
      <w:proofErr w:type="spellEnd"/>
      <w:r w:rsidRPr="007650B5">
        <w:rPr>
          <w:rFonts w:ascii="Arial" w:hAnsi="Arial" w:cs="Arial"/>
        </w:rPr>
        <w:t xml:space="preserve"> </w:t>
      </w:r>
      <w:proofErr w:type="spellStart"/>
      <w:r w:rsidRPr="007650B5">
        <w:rPr>
          <w:rFonts w:ascii="Arial" w:hAnsi="Arial" w:cs="Arial"/>
        </w:rPr>
        <w:t>comporte</w:t>
      </w:r>
      <w:proofErr w:type="spellEnd"/>
      <w:r w:rsidRPr="007650B5">
        <w:rPr>
          <w:rFonts w:ascii="Arial" w:hAnsi="Arial" w:cs="Arial"/>
        </w:rPr>
        <w:t xml:space="preserve"> </w:t>
      </w:r>
      <w:proofErr w:type="spellStart"/>
      <w:r w:rsidRPr="007650B5">
        <w:rPr>
          <w:rFonts w:ascii="Arial" w:hAnsi="Arial" w:cs="Arial"/>
        </w:rPr>
        <w:t>deux</w:t>
      </w:r>
      <w:proofErr w:type="spellEnd"/>
      <w:r w:rsidRPr="007650B5">
        <w:rPr>
          <w:rFonts w:ascii="Arial" w:hAnsi="Arial" w:cs="Arial"/>
        </w:rPr>
        <w:t xml:space="preserve"> implications </w:t>
      </w:r>
      <w:proofErr w:type="spellStart"/>
      <w:r w:rsidRPr="007650B5">
        <w:rPr>
          <w:rFonts w:ascii="Arial" w:hAnsi="Arial" w:cs="Arial"/>
        </w:rPr>
        <w:t>directes</w:t>
      </w:r>
      <w:proofErr w:type="spellEnd"/>
      <w:r w:rsidRPr="007650B5">
        <w:rPr>
          <w:rFonts w:ascii="Arial" w:hAnsi="Arial" w:cs="Arial"/>
        </w:rPr>
        <w:t xml:space="preserve">, à </w:t>
      </w:r>
      <w:proofErr w:type="gramStart"/>
      <w:r w:rsidRPr="007650B5">
        <w:rPr>
          <w:rFonts w:ascii="Arial" w:hAnsi="Arial" w:cs="Arial"/>
        </w:rPr>
        <w:t>savoir :</w:t>
      </w:r>
      <w:proofErr w:type="gramEnd"/>
    </w:p>
    <w:p w14:paraId="399B3740" w14:textId="77777777" w:rsidR="00013893" w:rsidRPr="00873F20" w:rsidRDefault="00013893" w:rsidP="00B10E64">
      <w:pPr>
        <w:keepNext/>
        <w:keepLines/>
      </w:pPr>
    </w:p>
    <w:p w14:paraId="12A36B91" w14:textId="75A793E5" w:rsidR="00013893" w:rsidRPr="00873F20" w:rsidRDefault="00FC6E48" w:rsidP="00B10E64">
      <w:pPr>
        <w:pStyle w:val="ListParagraph"/>
        <w:keepNext/>
        <w:keepLines/>
        <w:numPr>
          <w:ilvl w:val="0"/>
          <w:numId w:val="22"/>
        </w:numPr>
        <w:jc w:val="both"/>
        <w:rPr>
          <w:rFonts w:ascii="Arial" w:eastAsia="Times New Roman" w:hAnsi="Arial" w:cs="Arial"/>
          <w:lang w:val="fr-FR"/>
        </w:rPr>
      </w:pPr>
      <w:proofErr w:type="gramStart"/>
      <w:r>
        <w:rPr>
          <w:rFonts w:ascii="Arial" w:eastAsia="Times New Roman" w:hAnsi="Arial" w:cs="Arial"/>
          <w:lang w:val="fr-FR"/>
        </w:rPr>
        <w:t>les</w:t>
      </w:r>
      <w:proofErr w:type="gramEnd"/>
      <w:r>
        <w:rPr>
          <w:rFonts w:ascii="Arial" w:eastAsia="Times New Roman" w:hAnsi="Arial" w:cs="Arial"/>
          <w:lang w:val="fr-FR"/>
        </w:rPr>
        <w:t xml:space="preserve"> Alliés</w:t>
      </w:r>
      <w:r w:rsidR="00013893" w:rsidRPr="00873F20">
        <w:rPr>
          <w:rFonts w:ascii="Arial" w:eastAsia="Times New Roman" w:hAnsi="Arial" w:cs="Arial"/>
          <w:lang w:val="fr-FR"/>
        </w:rPr>
        <w:t xml:space="preserve"> sont tenus</w:t>
      </w:r>
      <w:r w:rsidR="00483443" w:rsidRPr="00873F20">
        <w:rPr>
          <w:rFonts w:ascii="Arial" w:eastAsia="Times New Roman" w:hAnsi="Arial" w:cs="Arial"/>
          <w:lang w:val="fr-FR"/>
        </w:rPr>
        <w:t xml:space="preserve">, en vertu de l’article 3, </w:t>
      </w:r>
      <w:r w:rsidR="00013893" w:rsidRPr="00873F20">
        <w:rPr>
          <w:rFonts w:ascii="Arial" w:eastAsia="Times New Roman" w:hAnsi="Arial" w:cs="Arial"/>
          <w:lang w:val="fr-FR"/>
        </w:rPr>
        <w:t xml:space="preserve">d’améliorer les cyberdéfenses de leurs </w:t>
      </w:r>
      <w:r w:rsidR="00D820C2" w:rsidRPr="00873F20">
        <w:rPr>
          <w:rFonts w:ascii="Arial" w:eastAsia="Times New Roman" w:hAnsi="Arial" w:cs="Arial"/>
          <w:lang w:val="fr-FR"/>
        </w:rPr>
        <w:t>inf</w:t>
      </w:r>
      <w:r w:rsidR="00013893" w:rsidRPr="00873F20">
        <w:rPr>
          <w:rFonts w:ascii="Arial" w:eastAsia="Times New Roman" w:hAnsi="Arial" w:cs="Arial"/>
          <w:lang w:val="fr-FR"/>
        </w:rPr>
        <w:t>rastructures et réseaux nationaux</w:t>
      </w:r>
      <w:r w:rsidR="0056046F" w:rsidRPr="00873F20">
        <w:rPr>
          <w:rFonts w:ascii="Arial" w:eastAsia="Times New Roman" w:hAnsi="Arial" w:cs="Arial"/>
          <w:lang w:val="fr-FR"/>
        </w:rPr>
        <w:t xml:space="preserve">. De fait, alors que l’OTAN est responsable de ses propres réseaux, c’est aux pays qu’il incombe de protéger les réseaux nationaux en veillant à leur compatibilité avec les réseaux de leurs alliés (de l’OTAN ou autres), le but étant d’éviter la présence, </w:t>
      </w:r>
      <w:r w:rsidR="00D820C2" w:rsidRPr="00873F20">
        <w:rPr>
          <w:rFonts w:ascii="Arial" w:eastAsia="Times New Roman" w:hAnsi="Arial" w:cs="Arial"/>
          <w:lang w:val="fr-FR"/>
        </w:rPr>
        <w:t>au sein de l’Organisation</w:t>
      </w:r>
      <w:r w:rsidR="0056046F" w:rsidRPr="00873F20">
        <w:rPr>
          <w:rFonts w:ascii="Arial" w:eastAsia="Times New Roman" w:hAnsi="Arial" w:cs="Arial"/>
          <w:lang w:val="fr-FR"/>
        </w:rPr>
        <w:t xml:space="preserve">, d’un maillon faible. Dans l’engagement en faveur de la cyberdéfense, les pays </w:t>
      </w:r>
      <w:r>
        <w:rPr>
          <w:rFonts w:ascii="Arial" w:eastAsia="Times New Roman" w:hAnsi="Arial" w:cs="Arial"/>
          <w:lang w:val="fr-FR"/>
        </w:rPr>
        <w:t>de l’Alliance</w:t>
      </w:r>
      <w:r w:rsidR="0056046F" w:rsidRPr="00873F20">
        <w:rPr>
          <w:rFonts w:ascii="Arial" w:eastAsia="Times New Roman" w:hAnsi="Arial" w:cs="Arial"/>
          <w:lang w:val="fr-FR"/>
        </w:rPr>
        <w:t xml:space="preserve"> se sont engagés à consacrer des ressources au renforcement des cyberdéfenses nationales. Les progrès réalisés en la matière seront évalués chaque année sur la base d’indicateurs agréés</w:t>
      </w:r>
      <w:r w:rsidR="00EA5BF4" w:rsidRPr="00873F20">
        <w:rPr>
          <w:rFonts w:ascii="Arial" w:eastAsia="Times New Roman" w:hAnsi="Arial" w:cs="Arial"/>
          <w:lang w:val="fr-FR"/>
        </w:rPr>
        <w:t xml:space="preserve">, et examinés au cours du </w:t>
      </w:r>
      <w:r w:rsidR="0038588C" w:rsidRPr="00873F20">
        <w:rPr>
          <w:rFonts w:ascii="Arial" w:eastAsia="Times New Roman" w:hAnsi="Arial" w:cs="Arial"/>
          <w:lang w:val="fr-FR"/>
        </w:rPr>
        <w:t>prochain sommet de l’OTAN (</w:t>
      </w:r>
      <w:r w:rsidR="007650B5">
        <w:rPr>
          <w:rFonts w:ascii="Arial" w:eastAsia="Times New Roman" w:hAnsi="Arial" w:cs="Arial"/>
          <w:lang w:val="fr-FR"/>
        </w:rPr>
        <w:t>NATO</w:t>
      </w:r>
      <w:r w:rsidR="0038588C" w:rsidRPr="00873F20">
        <w:rPr>
          <w:rFonts w:ascii="Arial" w:eastAsia="Times New Roman" w:hAnsi="Arial" w:cs="Arial"/>
          <w:lang w:val="fr-FR"/>
        </w:rPr>
        <w:t>(e)</w:t>
      </w:r>
      <w:r w:rsidR="00D820C2" w:rsidRPr="00873F20">
        <w:rPr>
          <w:rFonts w:ascii="Arial" w:eastAsia="Times New Roman" w:hAnsi="Arial" w:cs="Arial"/>
          <w:lang w:val="fr-FR"/>
        </w:rPr>
        <w:t>, 2016) ;</w:t>
      </w:r>
    </w:p>
    <w:p w14:paraId="189D1413" w14:textId="77777777" w:rsidR="00D820C2" w:rsidRPr="00873F20" w:rsidRDefault="00D820C2" w:rsidP="00E82B20"/>
    <w:p w14:paraId="76702218" w14:textId="63626B4D" w:rsidR="007650B5" w:rsidRDefault="00483443" w:rsidP="00825AB9">
      <w:pPr>
        <w:pStyle w:val="ListParagraph"/>
        <w:numPr>
          <w:ilvl w:val="0"/>
          <w:numId w:val="22"/>
        </w:numPr>
        <w:jc w:val="both"/>
        <w:rPr>
          <w:rFonts w:ascii="Arial" w:eastAsia="Times New Roman" w:hAnsi="Arial" w:cs="Arial"/>
          <w:lang w:val="fr-FR"/>
        </w:rPr>
      </w:pPr>
      <w:proofErr w:type="gramStart"/>
      <w:r w:rsidRPr="00873F20">
        <w:rPr>
          <w:rFonts w:ascii="Arial" w:eastAsia="Times New Roman" w:hAnsi="Arial" w:cs="Arial"/>
          <w:lang w:val="fr-FR"/>
        </w:rPr>
        <w:t>toute</w:t>
      </w:r>
      <w:proofErr w:type="gramEnd"/>
      <w:r w:rsidR="00D820C2" w:rsidRPr="00873F20">
        <w:rPr>
          <w:rFonts w:ascii="Arial" w:eastAsia="Times New Roman" w:hAnsi="Arial" w:cs="Arial"/>
          <w:lang w:val="fr-FR"/>
        </w:rPr>
        <w:t xml:space="preserve"> cyberattaque dirigée contre un membre  de l’OTAN pourrait </w:t>
      </w:r>
      <w:r w:rsidRPr="00873F20">
        <w:rPr>
          <w:rFonts w:ascii="Arial" w:eastAsia="Times New Roman" w:hAnsi="Arial" w:cs="Arial"/>
          <w:lang w:val="fr-FR"/>
        </w:rPr>
        <w:t xml:space="preserve">dorénavant </w:t>
      </w:r>
      <w:r w:rsidR="00D820C2" w:rsidRPr="00873F20">
        <w:rPr>
          <w:rFonts w:ascii="Arial" w:eastAsia="Times New Roman" w:hAnsi="Arial" w:cs="Arial"/>
          <w:lang w:val="fr-FR"/>
        </w:rPr>
        <w:t>déboucher sur une invocation de l’</w:t>
      </w:r>
      <w:r w:rsidRPr="00873F20">
        <w:rPr>
          <w:rFonts w:ascii="Arial" w:eastAsia="Times New Roman" w:hAnsi="Arial" w:cs="Arial"/>
          <w:lang w:val="fr-FR"/>
        </w:rPr>
        <w:t>a</w:t>
      </w:r>
      <w:r w:rsidR="00A87841" w:rsidRPr="00873F20">
        <w:rPr>
          <w:rFonts w:ascii="Arial" w:eastAsia="Times New Roman" w:hAnsi="Arial" w:cs="Arial"/>
          <w:lang w:val="fr-FR"/>
        </w:rPr>
        <w:t>rticle 5</w:t>
      </w:r>
      <w:r w:rsidR="00D820C2" w:rsidRPr="00873F20">
        <w:rPr>
          <w:rFonts w:ascii="Arial" w:eastAsia="Times New Roman" w:hAnsi="Arial" w:cs="Arial"/>
          <w:lang w:val="fr-FR"/>
        </w:rPr>
        <w:t xml:space="preserve">. Compte tenu des défis intrinsèques </w:t>
      </w:r>
      <w:r w:rsidRPr="00873F20">
        <w:rPr>
          <w:rFonts w:ascii="Arial" w:eastAsia="Times New Roman" w:hAnsi="Arial" w:cs="Arial"/>
          <w:lang w:val="fr-FR"/>
        </w:rPr>
        <w:t>liés à</w:t>
      </w:r>
      <w:r w:rsidR="00D820C2" w:rsidRPr="00873F20">
        <w:rPr>
          <w:rFonts w:ascii="Arial" w:eastAsia="Times New Roman" w:hAnsi="Arial" w:cs="Arial"/>
          <w:lang w:val="fr-FR"/>
        </w:rPr>
        <w:t xml:space="preserve"> l’attribution des attaques et </w:t>
      </w:r>
      <w:r w:rsidRPr="00873F20">
        <w:rPr>
          <w:rFonts w:ascii="Arial" w:eastAsia="Times New Roman" w:hAnsi="Arial" w:cs="Arial"/>
          <w:lang w:val="fr-FR"/>
        </w:rPr>
        <w:t xml:space="preserve">à </w:t>
      </w:r>
      <w:r w:rsidR="00D820C2" w:rsidRPr="00873F20">
        <w:rPr>
          <w:rFonts w:ascii="Arial" w:eastAsia="Times New Roman" w:hAnsi="Arial" w:cs="Arial"/>
          <w:lang w:val="fr-FR"/>
        </w:rPr>
        <w:t xml:space="preserve">l’absence de communications avec la Russie – un des </w:t>
      </w:r>
      <w:r w:rsidRPr="00873F20">
        <w:rPr>
          <w:rFonts w:ascii="Arial" w:eastAsia="Times New Roman" w:hAnsi="Arial" w:cs="Arial"/>
          <w:lang w:val="fr-FR"/>
        </w:rPr>
        <w:t>pays les plus avancé</w:t>
      </w:r>
      <w:r w:rsidR="0038588C" w:rsidRPr="00873F20">
        <w:rPr>
          <w:rFonts w:ascii="Arial" w:eastAsia="Times New Roman" w:hAnsi="Arial" w:cs="Arial"/>
          <w:lang w:val="fr-FR"/>
        </w:rPr>
        <w:t xml:space="preserve">s </w:t>
      </w:r>
      <w:r w:rsidR="007650B5">
        <w:rPr>
          <w:rFonts w:ascii="Arial" w:eastAsia="Times New Roman" w:hAnsi="Arial" w:cs="Arial"/>
          <w:lang w:val="fr-FR"/>
        </w:rPr>
        <w:t>du cybermonde</w:t>
      </w:r>
      <w:r w:rsidR="00D820C2" w:rsidRPr="00873F20">
        <w:rPr>
          <w:rFonts w:ascii="Arial" w:eastAsia="Times New Roman" w:hAnsi="Arial" w:cs="Arial"/>
          <w:lang w:val="fr-FR"/>
        </w:rPr>
        <w:t xml:space="preserve"> –, le fait d’avoir érigé le cyberespace e</w:t>
      </w:r>
      <w:r w:rsidR="00B25605" w:rsidRPr="00873F20">
        <w:rPr>
          <w:rFonts w:ascii="Arial" w:eastAsia="Times New Roman" w:hAnsi="Arial" w:cs="Arial"/>
          <w:lang w:val="fr-FR"/>
        </w:rPr>
        <w:t xml:space="preserve">n domaine opérationnel </w:t>
      </w:r>
      <w:r w:rsidR="004133EC" w:rsidRPr="00873F20">
        <w:rPr>
          <w:rFonts w:ascii="Arial" w:eastAsia="Times New Roman" w:hAnsi="Arial" w:cs="Arial"/>
          <w:lang w:val="fr-FR"/>
        </w:rPr>
        <w:t>risque de</w:t>
      </w:r>
      <w:r w:rsidR="00B25605" w:rsidRPr="00873F20">
        <w:rPr>
          <w:rFonts w:ascii="Arial" w:eastAsia="Times New Roman" w:hAnsi="Arial" w:cs="Arial"/>
          <w:lang w:val="fr-FR"/>
        </w:rPr>
        <w:t xml:space="preserve"> </w:t>
      </w:r>
      <w:r w:rsidRPr="00873F20">
        <w:rPr>
          <w:rFonts w:ascii="Arial" w:eastAsia="Times New Roman" w:hAnsi="Arial" w:cs="Arial"/>
          <w:lang w:val="fr-FR"/>
        </w:rPr>
        <w:t>multiplier</w:t>
      </w:r>
      <w:r w:rsidR="00D820C2" w:rsidRPr="00873F20">
        <w:rPr>
          <w:rFonts w:ascii="Arial" w:eastAsia="Times New Roman" w:hAnsi="Arial" w:cs="Arial"/>
          <w:lang w:val="fr-FR"/>
        </w:rPr>
        <w:t xml:space="preserve"> les risques d’erreur.</w:t>
      </w:r>
    </w:p>
    <w:p w14:paraId="047578B6" w14:textId="77777777" w:rsidR="007650B5" w:rsidRPr="007650B5" w:rsidRDefault="007650B5" w:rsidP="007650B5">
      <w:pPr>
        <w:pStyle w:val="ListParagraph"/>
        <w:rPr>
          <w:lang w:val="fr-FR"/>
        </w:rPr>
      </w:pPr>
    </w:p>
    <w:p w14:paraId="0DA1A74D" w14:textId="1891B7E8" w:rsidR="00D820C2" w:rsidRPr="007650B5" w:rsidRDefault="00D820C2" w:rsidP="00825AB9">
      <w:pPr>
        <w:pStyle w:val="ListParagraph"/>
        <w:numPr>
          <w:ilvl w:val="0"/>
          <w:numId w:val="25"/>
        </w:numPr>
        <w:tabs>
          <w:tab w:val="left" w:pos="567"/>
        </w:tabs>
        <w:ind w:left="0" w:firstLine="0"/>
        <w:jc w:val="both"/>
        <w:rPr>
          <w:rFonts w:ascii="Arial" w:eastAsia="Times New Roman" w:hAnsi="Arial" w:cs="Arial"/>
          <w:lang w:val="fr-FR"/>
        </w:rPr>
      </w:pPr>
      <w:r w:rsidRPr="007650B5">
        <w:rPr>
          <w:rFonts w:ascii="Arial" w:hAnsi="Arial" w:cs="Arial"/>
          <w:lang w:val="fr-FR"/>
        </w:rPr>
        <w:t xml:space="preserve">La décision du Conseil d’investir dans </w:t>
      </w:r>
      <w:r w:rsidR="00B25605" w:rsidRPr="007650B5">
        <w:rPr>
          <w:rFonts w:ascii="Arial" w:hAnsi="Arial" w:cs="Arial"/>
          <w:lang w:val="fr-FR"/>
        </w:rPr>
        <w:t xml:space="preserve">la capacité technique offerte par le </w:t>
      </w:r>
      <w:proofErr w:type="spellStart"/>
      <w:r w:rsidR="00E82B20" w:rsidRPr="007650B5">
        <w:rPr>
          <w:rFonts w:ascii="Arial" w:hAnsi="Arial" w:cs="Arial"/>
          <w:lang w:val="fr-FR"/>
        </w:rPr>
        <w:t>cyberpolygone</w:t>
      </w:r>
      <w:proofErr w:type="spellEnd"/>
      <w:r w:rsidR="00E82B20" w:rsidRPr="007650B5">
        <w:rPr>
          <w:rFonts w:ascii="Arial" w:hAnsi="Arial" w:cs="Arial"/>
          <w:lang w:val="fr-FR"/>
        </w:rPr>
        <w:t xml:space="preserve"> de l’OTAN </w:t>
      </w:r>
      <w:r w:rsidR="00B25605" w:rsidRPr="007650B5">
        <w:rPr>
          <w:rFonts w:ascii="Arial" w:hAnsi="Arial" w:cs="Arial"/>
          <w:lang w:val="fr-FR"/>
        </w:rPr>
        <w:t>de même que les</w:t>
      </w:r>
      <w:r w:rsidR="00E82B20" w:rsidRPr="007650B5">
        <w:rPr>
          <w:rFonts w:ascii="Arial" w:hAnsi="Arial" w:cs="Arial"/>
          <w:lang w:val="fr-FR"/>
        </w:rPr>
        <w:t xml:space="preserve"> exercices militaires </w:t>
      </w:r>
      <w:r w:rsidR="00871B77" w:rsidRPr="007650B5">
        <w:rPr>
          <w:rFonts w:ascii="Arial" w:hAnsi="Arial" w:cs="Arial"/>
          <w:lang w:val="fr-FR"/>
        </w:rPr>
        <w:t>tenus récemment qui comportaient un volet consacré à cette problématique</w:t>
      </w:r>
      <w:r w:rsidR="00E82B20" w:rsidRPr="007650B5">
        <w:rPr>
          <w:rFonts w:ascii="Arial" w:hAnsi="Arial" w:cs="Arial"/>
          <w:lang w:val="fr-FR"/>
        </w:rPr>
        <w:t xml:space="preserve">, comme </w:t>
      </w:r>
      <w:proofErr w:type="spellStart"/>
      <w:r w:rsidR="00E82B20" w:rsidRPr="007650B5">
        <w:rPr>
          <w:rFonts w:ascii="Arial" w:hAnsi="Arial" w:cs="Arial"/>
          <w:i/>
          <w:lang w:val="fr-FR"/>
        </w:rPr>
        <w:t>Anakonda</w:t>
      </w:r>
      <w:proofErr w:type="spellEnd"/>
      <w:r w:rsidR="00E82B20" w:rsidRPr="007650B5">
        <w:rPr>
          <w:rFonts w:ascii="Arial" w:hAnsi="Arial" w:cs="Arial"/>
          <w:lang w:val="fr-FR"/>
        </w:rPr>
        <w:t xml:space="preserve"> 2016, montrent bien que l’Alliance s’attend à ce que la plupart des conflits </w:t>
      </w:r>
      <w:r w:rsidR="00871B77" w:rsidRPr="007650B5">
        <w:rPr>
          <w:rFonts w:ascii="Arial" w:hAnsi="Arial" w:cs="Arial"/>
          <w:lang w:val="fr-FR"/>
        </w:rPr>
        <w:t>futurs</w:t>
      </w:r>
      <w:r w:rsidR="00E82B20" w:rsidRPr="007650B5">
        <w:rPr>
          <w:rFonts w:ascii="Arial" w:hAnsi="Arial" w:cs="Arial"/>
          <w:lang w:val="fr-FR"/>
        </w:rPr>
        <w:t xml:space="preserve"> comportent une </w:t>
      </w:r>
      <w:proofErr w:type="spellStart"/>
      <w:r w:rsidR="00E82B20" w:rsidRPr="007650B5">
        <w:rPr>
          <w:rFonts w:ascii="Arial" w:hAnsi="Arial" w:cs="Arial"/>
          <w:lang w:val="fr-FR"/>
        </w:rPr>
        <w:t>cyberdimension</w:t>
      </w:r>
      <w:proofErr w:type="spellEnd"/>
      <w:r w:rsidR="00E82B20" w:rsidRPr="007650B5">
        <w:rPr>
          <w:rFonts w:ascii="Arial" w:hAnsi="Arial" w:cs="Arial"/>
          <w:lang w:val="fr-FR"/>
        </w:rPr>
        <w:t xml:space="preserve"> (</w:t>
      </w:r>
      <w:r w:rsidR="007650B5" w:rsidRPr="00B10E64">
        <w:rPr>
          <w:rFonts w:ascii="Arial" w:hAnsi="Arial" w:cs="Arial"/>
          <w:i/>
          <w:lang w:val="fr-FR"/>
        </w:rPr>
        <w:t xml:space="preserve">Ministry of the </w:t>
      </w:r>
      <w:proofErr w:type="spellStart"/>
      <w:r w:rsidR="007650B5" w:rsidRPr="00B10E64">
        <w:rPr>
          <w:rFonts w:ascii="Arial" w:hAnsi="Arial" w:cs="Arial"/>
          <w:i/>
          <w:lang w:val="fr-FR"/>
        </w:rPr>
        <w:t>Defense</w:t>
      </w:r>
      <w:proofErr w:type="spellEnd"/>
      <w:r w:rsidR="007650B5" w:rsidRPr="00B10E64">
        <w:rPr>
          <w:rFonts w:ascii="Arial" w:hAnsi="Arial" w:cs="Arial"/>
          <w:i/>
          <w:lang w:val="fr-FR"/>
        </w:rPr>
        <w:t xml:space="preserve"> of the </w:t>
      </w:r>
      <w:proofErr w:type="spellStart"/>
      <w:r w:rsidR="007650B5" w:rsidRPr="00B10E64">
        <w:rPr>
          <w:rFonts w:ascii="Arial" w:hAnsi="Arial" w:cs="Arial"/>
          <w:i/>
          <w:lang w:val="fr-FR"/>
        </w:rPr>
        <w:t>Republic</w:t>
      </w:r>
      <w:proofErr w:type="spellEnd"/>
      <w:r w:rsidR="007650B5" w:rsidRPr="00B10E64">
        <w:rPr>
          <w:rFonts w:ascii="Arial" w:hAnsi="Arial" w:cs="Arial"/>
          <w:i/>
          <w:lang w:val="fr-FR"/>
        </w:rPr>
        <w:t xml:space="preserve"> of </w:t>
      </w:r>
      <w:proofErr w:type="spellStart"/>
      <w:r w:rsidR="007650B5" w:rsidRPr="00B10E64">
        <w:rPr>
          <w:rFonts w:ascii="Arial" w:hAnsi="Arial" w:cs="Arial"/>
          <w:i/>
          <w:lang w:val="fr-FR"/>
        </w:rPr>
        <w:t>Estonia</w:t>
      </w:r>
      <w:proofErr w:type="spellEnd"/>
      <w:r w:rsidR="00E82B20" w:rsidRPr="007650B5">
        <w:rPr>
          <w:rFonts w:ascii="Arial" w:hAnsi="Arial" w:cs="Arial"/>
          <w:lang w:val="fr-FR"/>
        </w:rPr>
        <w:t xml:space="preserve">, 2016). Dès lors, </w:t>
      </w:r>
      <w:r w:rsidR="00B25605" w:rsidRPr="007650B5">
        <w:rPr>
          <w:rFonts w:ascii="Arial" w:hAnsi="Arial" w:cs="Arial"/>
          <w:lang w:val="fr-FR"/>
        </w:rPr>
        <w:t>dans la logiqu</w:t>
      </w:r>
      <w:r w:rsidR="007650B5" w:rsidRPr="007650B5">
        <w:rPr>
          <w:rFonts w:ascii="Arial" w:hAnsi="Arial" w:cs="Arial"/>
          <w:lang w:val="fr-FR"/>
        </w:rPr>
        <w:t>e des efforts qu’elle mène pour</w:t>
      </w:r>
      <w:r w:rsidR="00B25605" w:rsidRPr="007650B5">
        <w:rPr>
          <w:rFonts w:ascii="Arial" w:hAnsi="Arial" w:cs="Arial"/>
          <w:lang w:val="fr-FR"/>
        </w:rPr>
        <w:t xml:space="preserve"> intensifier s</w:t>
      </w:r>
      <w:r w:rsidR="00E82B20" w:rsidRPr="007650B5">
        <w:rPr>
          <w:rFonts w:ascii="Arial" w:hAnsi="Arial" w:cs="Arial"/>
          <w:lang w:val="fr-FR"/>
        </w:rPr>
        <w:t>a coopération a</w:t>
      </w:r>
      <w:r w:rsidR="00B10E64">
        <w:rPr>
          <w:rFonts w:ascii="Arial" w:hAnsi="Arial" w:cs="Arial"/>
          <w:lang w:val="fr-FR"/>
        </w:rPr>
        <w:t>vec l’industrie au travers d’un</w:t>
      </w:r>
      <w:r w:rsidR="0038588C" w:rsidRPr="007650B5">
        <w:rPr>
          <w:rFonts w:ascii="Arial" w:hAnsi="Arial" w:cs="Arial"/>
          <w:lang w:val="fr-FR"/>
        </w:rPr>
        <w:t xml:space="preserve"> </w:t>
      </w:r>
      <w:proofErr w:type="spellStart"/>
      <w:r w:rsidR="0038588C" w:rsidRPr="007650B5">
        <w:rPr>
          <w:rFonts w:ascii="Arial" w:hAnsi="Arial" w:cs="Arial"/>
          <w:lang w:val="fr-FR"/>
        </w:rPr>
        <w:t>c</w:t>
      </w:r>
      <w:r w:rsidR="00E82B20" w:rsidRPr="007650B5">
        <w:rPr>
          <w:rFonts w:ascii="Arial" w:hAnsi="Arial" w:cs="Arial"/>
          <w:lang w:val="fr-FR"/>
        </w:rPr>
        <w:t>yberpartenariat</w:t>
      </w:r>
      <w:proofErr w:type="spellEnd"/>
      <w:r w:rsidR="00E82B20" w:rsidRPr="007650B5">
        <w:rPr>
          <w:rFonts w:ascii="Arial" w:hAnsi="Arial" w:cs="Arial"/>
          <w:lang w:val="fr-FR"/>
        </w:rPr>
        <w:t xml:space="preserve">, l’Alliance a </w:t>
      </w:r>
      <w:r w:rsidR="00871B77" w:rsidRPr="007650B5">
        <w:rPr>
          <w:rFonts w:ascii="Arial" w:hAnsi="Arial" w:cs="Arial"/>
          <w:lang w:val="fr-FR"/>
        </w:rPr>
        <w:t xml:space="preserve">annoncé des </w:t>
      </w:r>
      <w:r w:rsidR="00E82B20" w:rsidRPr="007650B5">
        <w:rPr>
          <w:rFonts w:ascii="Arial" w:hAnsi="Arial" w:cs="Arial"/>
          <w:lang w:val="fr-FR"/>
        </w:rPr>
        <w:t>projets d’investissement</w:t>
      </w:r>
      <w:r w:rsidR="00871B77" w:rsidRPr="007650B5">
        <w:rPr>
          <w:rFonts w:ascii="Arial" w:hAnsi="Arial" w:cs="Arial"/>
          <w:lang w:val="fr-FR"/>
        </w:rPr>
        <w:t>s</w:t>
      </w:r>
      <w:r w:rsidR="00E82B20" w:rsidRPr="007650B5">
        <w:rPr>
          <w:rFonts w:ascii="Arial" w:hAnsi="Arial" w:cs="Arial"/>
          <w:lang w:val="fr-FR"/>
        </w:rPr>
        <w:t xml:space="preserve"> </w:t>
      </w:r>
      <w:r w:rsidR="00871B77" w:rsidRPr="007650B5">
        <w:rPr>
          <w:rFonts w:ascii="Arial" w:hAnsi="Arial" w:cs="Arial"/>
          <w:lang w:val="fr-FR"/>
        </w:rPr>
        <w:t>à l’approche</w:t>
      </w:r>
      <w:r w:rsidR="00E82B20" w:rsidRPr="007650B5">
        <w:rPr>
          <w:rFonts w:ascii="Arial" w:hAnsi="Arial" w:cs="Arial"/>
          <w:lang w:val="fr-FR"/>
        </w:rPr>
        <w:t xml:space="preserve"> du Symposium OTAN sur l’assurance de l’information et la cyberdéfense </w:t>
      </w:r>
      <w:r w:rsidR="00AB6650" w:rsidRPr="007650B5">
        <w:rPr>
          <w:rFonts w:ascii="Arial" w:hAnsi="Arial" w:cs="Arial"/>
          <w:lang w:val="fr-FR"/>
        </w:rPr>
        <w:t xml:space="preserve">qui </w:t>
      </w:r>
      <w:r w:rsidR="007650B5">
        <w:rPr>
          <w:rFonts w:ascii="Arial" w:hAnsi="Arial" w:cs="Arial"/>
          <w:lang w:val="fr-FR"/>
        </w:rPr>
        <w:t>s'est tenue</w:t>
      </w:r>
      <w:r w:rsidR="00AB6650" w:rsidRPr="007650B5">
        <w:rPr>
          <w:rFonts w:ascii="Arial" w:hAnsi="Arial" w:cs="Arial"/>
          <w:lang w:val="fr-FR"/>
        </w:rPr>
        <w:t xml:space="preserve"> en Belgique les 7 et 8 septembre</w:t>
      </w:r>
      <w:r w:rsidR="007650B5">
        <w:rPr>
          <w:rFonts w:ascii="Arial" w:hAnsi="Arial" w:cs="Arial"/>
          <w:lang w:val="fr-FR"/>
        </w:rPr>
        <w:t xml:space="preserve"> 2016. Elle prévoyait</w:t>
      </w:r>
      <w:r w:rsidR="00AB6650" w:rsidRPr="007650B5">
        <w:rPr>
          <w:rFonts w:ascii="Arial" w:hAnsi="Arial" w:cs="Arial"/>
          <w:lang w:val="fr-FR"/>
        </w:rPr>
        <w:t xml:space="preserve"> de consacrer 70 millions </w:t>
      </w:r>
      <w:r w:rsidR="00B25605" w:rsidRPr="007650B5">
        <w:rPr>
          <w:rFonts w:ascii="Arial" w:hAnsi="Arial" w:cs="Arial"/>
          <w:lang w:val="fr-FR"/>
        </w:rPr>
        <w:t>d’euros</w:t>
      </w:r>
      <w:r w:rsidR="00AB6650" w:rsidRPr="007650B5">
        <w:rPr>
          <w:rFonts w:ascii="Arial" w:hAnsi="Arial" w:cs="Arial"/>
          <w:lang w:val="fr-FR"/>
        </w:rPr>
        <w:t xml:space="preserve"> à un recyclage </w:t>
      </w:r>
      <w:r w:rsidR="007650B5" w:rsidRPr="007650B5">
        <w:rPr>
          <w:rFonts w:ascii="Arial" w:hAnsi="Arial" w:cs="Arial"/>
          <w:lang w:val="fr-FR"/>
        </w:rPr>
        <w:t>sur</w:t>
      </w:r>
      <w:r w:rsidR="00AB6650" w:rsidRPr="007650B5">
        <w:rPr>
          <w:rFonts w:ascii="Arial" w:hAnsi="Arial" w:cs="Arial"/>
          <w:lang w:val="fr-FR"/>
        </w:rPr>
        <w:t xml:space="preserve"> la mobilité sécurisée, l’authentification multini</w:t>
      </w:r>
      <w:r w:rsidR="007650B5">
        <w:rPr>
          <w:rFonts w:ascii="Arial" w:hAnsi="Arial" w:cs="Arial"/>
          <w:lang w:val="fr-FR"/>
        </w:rPr>
        <w:t xml:space="preserve">veaux et la sécurité des </w:t>
      </w:r>
      <w:proofErr w:type="spellStart"/>
      <w:r w:rsidR="00B10E64" w:rsidRPr="00B10E64">
        <w:rPr>
          <w:rFonts w:ascii="Arial" w:hAnsi="Arial" w:cs="Arial"/>
          <w:i/>
          <w:lang w:val="fr-FR"/>
        </w:rPr>
        <w:t>clouds</w:t>
      </w:r>
      <w:proofErr w:type="spellEnd"/>
      <w:r w:rsidR="00AB6650" w:rsidRPr="007650B5">
        <w:rPr>
          <w:rFonts w:ascii="Arial" w:hAnsi="Arial" w:cs="Arial"/>
          <w:lang w:val="fr-FR"/>
        </w:rPr>
        <w:t xml:space="preserve"> publics (SC Magazine, 2016).</w:t>
      </w:r>
    </w:p>
    <w:p w14:paraId="6C5C468E" w14:textId="77777777" w:rsidR="00966321" w:rsidRPr="00873F20" w:rsidRDefault="00966321" w:rsidP="00E82B20"/>
    <w:p w14:paraId="79B1AA7E" w14:textId="71EFC9C1" w:rsidR="00966321" w:rsidRPr="00873F20" w:rsidRDefault="007650B5" w:rsidP="00E43218">
      <w:pPr>
        <w:pStyle w:val="Heading2"/>
        <w:numPr>
          <w:ilvl w:val="0"/>
          <w:numId w:val="0"/>
        </w:numPr>
        <w:ind w:left="1134" w:hanging="567"/>
      </w:pPr>
      <w:r>
        <w:tab/>
      </w:r>
      <w:bookmarkStart w:id="18" w:name="_Toc464810725"/>
      <w:r>
        <w:t>G</w:t>
      </w:r>
      <w:r w:rsidR="00966321" w:rsidRPr="00873F20">
        <w:t>.</w:t>
      </w:r>
      <w:r w:rsidR="00966321" w:rsidRPr="00873F20">
        <w:tab/>
        <w:t>LA DÉFENSE DE L’OTAN CONTRE LES MISSILES BALISTIQUES</w:t>
      </w:r>
      <w:bookmarkEnd w:id="18"/>
    </w:p>
    <w:p w14:paraId="2B0BAB26" w14:textId="77777777" w:rsidR="00966321" w:rsidRPr="00873F20" w:rsidRDefault="00966321" w:rsidP="00E82B20"/>
    <w:p w14:paraId="3DB35DE4" w14:textId="36A6D19D" w:rsidR="00966321" w:rsidRPr="00963572" w:rsidRDefault="00FC38D2" w:rsidP="00825AB9">
      <w:pPr>
        <w:pStyle w:val="ListParagraph"/>
        <w:numPr>
          <w:ilvl w:val="0"/>
          <w:numId w:val="25"/>
        </w:numPr>
        <w:tabs>
          <w:tab w:val="left" w:pos="567"/>
        </w:tabs>
        <w:ind w:left="0" w:firstLine="0"/>
        <w:jc w:val="both"/>
        <w:rPr>
          <w:rFonts w:ascii="Arial" w:hAnsi="Arial" w:cs="Arial"/>
          <w:lang w:val="fr-FR"/>
        </w:rPr>
      </w:pPr>
      <w:r w:rsidRPr="007650B5">
        <w:rPr>
          <w:rFonts w:ascii="Arial" w:hAnsi="Arial" w:cs="Arial"/>
          <w:lang w:val="fr-FR"/>
        </w:rPr>
        <w:t xml:space="preserve">La DSC a </w:t>
      </w:r>
      <w:r w:rsidR="00C9644F" w:rsidRPr="007650B5">
        <w:rPr>
          <w:rFonts w:ascii="Arial" w:hAnsi="Arial" w:cs="Arial"/>
          <w:lang w:val="fr-FR"/>
        </w:rPr>
        <w:t>suivi</w:t>
      </w:r>
      <w:r w:rsidRPr="007650B5">
        <w:rPr>
          <w:rFonts w:ascii="Arial" w:hAnsi="Arial" w:cs="Arial"/>
          <w:lang w:val="fr-FR"/>
        </w:rPr>
        <w:t xml:space="preserve"> les différentes phases du processus initié par l’OTAN pour </w:t>
      </w:r>
      <w:r w:rsidR="00871B77" w:rsidRPr="007650B5">
        <w:rPr>
          <w:rFonts w:ascii="Arial" w:hAnsi="Arial" w:cs="Arial"/>
          <w:lang w:val="fr-FR"/>
        </w:rPr>
        <w:t>rassembler</w:t>
      </w:r>
      <w:r w:rsidRPr="007650B5">
        <w:rPr>
          <w:rFonts w:ascii="Arial" w:hAnsi="Arial" w:cs="Arial"/>
          <w:lang w:val="fr-FR"/>
        </w:rPr>
        <w:t xml:space="preserve"> les moyens de défense antimissile des différents Alliés </w:t>
      </w:r>
      <w:r w:rsidR="00871B77" w:rsidRPr="007650B5">
        <w:rPr>
          <w:rFonts w:ascii="Arial" w:hAnsi="Arial" w:cs="Arial"/>
          <w:lang w:val="fr-FR"/>
        </w:rPr>
        <w:t xml:space="preserve">au sein d’un </w:t>
      </w:r>
      <w:r w:rsidRPr="007650B5">
        <w:rPr>
          <w:rFonts w:ascii="Arial" w:hAnsi="Arial" w:cs="Arial"/>
          <w:lang w:val="fr-FR"/>
        </w:rPr>
        <w:t xml:space="preserve">système de défense cohérent qui puisse protéger les territoires, les populations et les forces des </w:t>
      </w:r>
      <w:r w:rsidR="007650B5" w:rsidRPr="007650B5">
        <w:rPr>
          <w:rFonts w:ascii="Arial" w:hAnsi="Arial" w:cs="Arial"/>
          <w:lang w:val="fr-FR"/>
        </w:rPr>
        <w:t xml:space="preserve">pays </w:t>
      </w:r>
      <w:r w:rsidR="00FA304D" w:rsidRPr="007650B5">
        <w:rPr>
          <w:rFonts w:ascii="Arial" w:hAnsi="Arial" w:cs="Arial"/>
          <w:lang w:val="fr-FR"/>
        </w:rPr>
        <w:t>membres</w:t>
      </w:r>
      <w:r w:rsidRPr="007650B5">
        <w:rPr>
          <w:rFonts w:ascii="Arial" w:hAnsi="Arial" w:cs="Arial"/>
          <w:lang w:val="fr-FR"/>
        </w:rPr>
        <w:t xml:space="preserve"> europée</w:t>
      </w:r>
      <w:r w:rsidR="00B10E64">
        <w:rPr>
          <w:rFonts w:ascii="Arial" w:hAnsi="Arial" w:cs="Arial"/>
          <w:lang w:val="fr-FR"/>
        </w:rPr>
        <w:t>ns face aux menaces que font pe</w:t>
      </w:r>
      <w:r w:rsidRPr="007650B5">
        <w:rPr>
          <w:rFonts w:ascii="Arial" w:hAnsi="Arial" w:cs="Arial"/>
          <w:lang w:val="fr-FR"/>
        </w:rPr>
        <w:t>ser les missiles balistique</w:t>
      </w:r>
      <w:r w:rsidR="00992D30" w:rsidRPr="007650B5">
        <w:rPr>
          <w:rFonts w:ascii="Arial" w:hAnsi="Arial" w:cs="Arial"/>
          <w:lang w:val="fr-FR"/>
        </w:rPr>
        <w:t>s</w:t>
      </w:r>
      <w:r w:rsidRPr="007650B5">
        <w:rPr>
          <w:rFonts w:ascii="Arial" w:hAnsi="Arial" w:cs="Arial"/>
          <w:lang w:val="fr-FR"/>
        </w:rPr>
        <w:t xml:space="preserve">. En 2009, les États-Unis </w:t>
      </w:r>
      <w:r w:rsidR="0079388F" w:rsidRPr="007650B5">
        <w:rPr>
          <w:rFonts w:ascii="Arial" w:hAnsi="Arial" w:cs="Arial"/>
          <w:lang w:val="fr-FR"/>
        </w:rPr>
        <w:t>annonçaient</w:t>
      </w:r>
      <w:r w:rsidRPr="007650B5">
        <w:rPr>
          <w:rFonts w:ascii="Arial" w:hAnsi="Arial" w:cs="Arial"/>
          <w:lang w:val="fr-FR"/>
        </w:rPr>
        <w:t xml:space="preserve"> </w:t>
      </w:r>
      <w:r w:rsidR="00992D30" w:rsidRPr="007650B5">
        <w:rPr>
          <w:rFonts w:ascii="Arial" w:hAnsi="Arial" w:cs="Arial"/>
          <w:lang w:val="fr-FR"/>
        </w:rPr>
        <w:t xml:space="preserve">dans cette perspective </w:t>
      </w:r>
      <w:r w:rsidRPr="007650B5">
        <w:rPr>
          <w:rFonts w:ascii="Arial" w:hAnsi="Arial" w:cs="Arial"/>
          <w:lang w:val="fr-FR"/>
        </w:rPr>
        <w:t xml:space="preserve">le lancement </w:t>
      </w:r>
      <w:r w:rsidR="0079388F" w:rsidRPr="007650B5">
        <w:rPr>
          <w:rFonts w:ascii="Arial" w:hAnsi="Arial" w:cs="Arial"/>
          <w:lang w:val="fr-FR"/>
        </w:rPr>
        <w:t xml:space="preserve">du programme d'approche adaptative </w:t>
      </w:r>
      <w:proofErr w:type="spellStart"/>
      <w:r w:rsidR="0079388F" w:rsidRPr="007650B5">
        <w:rPr>
          <w:rFonts w:ascii="Arial" w:hAnsi="Arial" w:cs="Arial"/>
          <w:lang w:val="fr-FR"/>
        </w:rPr>
        <w:t>phasée</w:t>
      </w:r>
      <w:proofErr w:type="spellEnd"/>
      <w:r w:rsidR="0079388F" w:rsidRPr="007650B5">
        <w:rPr>
          <w:rFonts w:ascii="Arial" w:hAnsi="Arial" w:cs="Arial"/>
          <w:lang w:val="fr-FR"/>
        </w:rPr>
        <w:t xml:space="preserve"> pour la défense antimissile en Europe (EPAA</w:t>
      </w:r>
      <w:r w:rsidR="007650B5">
        <w:rPr>
          <w:rFonts w:ascii="Arial" w:hAnsi="Arial" w:cs="Arial"/>
          <w:lang w:val="fr-FR"/>
        </w:rPr>
        <w:t xml:space="preserve">) </w:t>
      </w:r>
      <w:r w:rsidR="007650B5" w:rsidRPr="007650B5">
        <w:rPr>
          <w:rFonts w:ascii="Arial" w:hAnsi="Arial" w:cs="Arial"/>
          <w:lang w:val="fr-FR"/>
        </w:rPr>
        <w:t xml:space="preserve">visant à </w:t>
      </w:r>
      <w:r w:rsidR="00F96463">
        <w:rPr>
          <w:rFonts w:ascii="Arial" w:hAnsi="Arial" w:cs="Arial"/>
          <w:lang w:val="fr-FR"/>
        </w:rPr>
        <w:t>mettre</w:t>
      </w:r>
      <w:r w:rsidR="007650B5" w:rsidRPr="007650B5">
        <w:rPr>
          <w:rFonts w:ascii="Arial" w:hAnsi="Arial" w:cs="Arial"/>
          <w:lang w:val="fr-FR"/>
        </w:rPr>
        <w:t xml:space="preserve"> des c</w:t>
      </w:r>
      <w:r w:rsidR="00F96463">
        <w:rPr>
          <w:rFonts w:ascii="Arial" w:hAnsi="Arial" w:cs="Arial"/>
          <w:lang w:val="fr-FR"/>
        </w:rPr>
        <w:t>apteurs et systèmes d'armes doté</w:t>
      </w:r>
      <w:r w:rsidR="007650B5" w:rsidRPr="007650B5">
        <w:rPr>
          <w:rFonts w:ascii="Arial" w:hAnsi="Arial" w:cs="Arial"/>
          <w:lang w:val="fr-FR"/>
        </w:rPr>
        <w:t>s de capacités BMD à la disposition des Alliés de l'OTAN</w:t>
      </w:r>
      <w:r w:rsidR="0079388F" w:rsidRPr="007650B5">
        <w:rPr>
          <w:rFonts w:ascii="Arial" w:hAnsi="Arial" w:cs="Arial"/>
          <w:lang w:val="fr-FR"/>
        </w:rPr>
        <w:t xml:space="preserve">. </w:t>
      </w:r>
      <w:r w:rsidR="0079388F" w:rsidRPr="00963572">
        <w:rPr>
          <w:rFonts w:ascii="Arial" w:hAnsi="Arial" w:cs="Arial"/>
          <w:lang w:val="fr-FR"/>
        </w:rPr>
        <w:t xml:space="preserve">L’EPAA, qui s’articule en trois phases, repose sur un centre de commandement OTAN </w:t>
      </w:r>
      <w:r w:rsidR="00C9644F" w:rsidRPr="00963572">
        <w:rPr>
          <w:rFonts w:ascii="Arial" w:hAnsi="Arial" w:cs="Arial"/>
          <w:lang w:val="fr-FR"/>
        </w:rPr>
        <w:t xml:space="preserve">implanté </w:t>
      </w:r>
      <w:r w:rsidR="0079388F" w:rsidRPr="00963572">
        <w:rPr>
          <w:rFonts w:ascii="Arial" w:hAnsi="Arial" w:cs="Arial"/>
          <w:lang w:val="fr-FR"/>
        </w:rPr>
        <w:t xml:space="preserve">sur la base aérienne </w:t>
      </w:r>
      <w:r w:rsidR="00B10E64">
        <w:rPr>
          <w:rFonts w:ascii="Arial" w:hAnsi="Arial" w:cs="Arial"/>
          <w:lang w:val="fr-FR"/>
        </w:rPr>
        <w:t>états-unienne</w:t>
      </w:r>
      <w:r w:rsidR="0079388F" w:rsidRPr="00963572">
        <w:rPr>
          <w:rFonts w:ascii="Arial" w:hAnsi="Arial" w:cs="Arial"/>
          <w:lang w:val="fr-FR"/>
        </w:rPr>
        <w:t xml:space="preserve"> de </w:t>
      </w:r>
      <w:proofErr w:type="spellStart"/>
      <w:r w:rsidR="0079388F" w:rsidRPr="00963572">
        <w:rPr>
          <w:rFonts w:ascii="Arial" w:hAnsi="Arial" w:cs="Arial"/>
          <w:lang w:val="fr-FR"/>
        </w:rPr>
        <w:t>Ramstein</w:t>
      </w:r>
      <w:proofErr w:type="spellEnd"/>
      <w:r w:rsidR="0079388F" w:rsidRPr="00963572">
        <w:rPr>
          <w:rFonts w:ascii="Arial" w:hAnsi="Arial" w:cs="Arial"/>
          <w:lang w:val="fr-FR"/>
        </w:rPr>
        <w:t xml:space="preserve">, en Allemagne ; sur un radar </w:t>
      </w:r>
      <w:r w:rsidR="00992D30" w:rsidRPr="00963572">
        <w:rPr>
          <w:rFonts w:ascii="Arial" w:hAnsi="Arial" w:cs="Arial"/>
          <w:lang w:val="fr-FR"/>
        </w:rPr>
        <w:t xml:space="preserve">de détection lointaine terre/mer/transportable </w:t>
      </w:r>
      <w:r w:rsidR="0079388F" w:rsidRPr="00963572">
        <w:rPr>
          <w:rFonts w:ascii="Arial" w:hAnsi="Arial" w:cs="Arial"/>
          <w:lang w:val="fr-FR"/>
        </w:rPr>
        <w:t>de type AN/TPY-2</w:t>
      </w:r>
      <w:r w:rsidR="0042336F" w:rsidRPr="00963572">
        <w:rPr>
          <w:rFonts w:ascii="Arial" w:hAnsi="Arial" w:cs="Arial"/>
          <w:lang w:val="fr-FR"/>
        </w:rPr>
        <w:t xml:space="preserve"> basé à </w:t>
      </w:r>
      <w:proofErr w:type="spellStart"/>
      <w:r w:rsidR="0042336F" w:rsidRPr="00963572">
        <w:rPr>
          <w:rFonts w:ascii="Arial" w:hAnsi="Arial" w:cs="Arial"/>
          <w:lang w:val="fr-FR"/>
        </w:rPr>
        <w:t>Kü</w:t>
      </w:r>
      <w:r w:rsidR="00992D30" w:rsidRPr="00963572">
        <w:rPr>
          <w:rFonts w:ascii="Arial" w:hAnsi="Arial" w:cs="Arial"/>
          <w:lang w:val="fr-FR"/>
        </w:rPr>
        <w:t>recik</w:t>
      </w:r>
      <w:proofErr w:type="spellEnd"/>
      <w:r w:rsidR="00992D30" w:rsidRPr="00963572">
        <w:rPr>
          <w:rFonts w:ascii="Arial" w:hAnsi="Arial" w:cs="Arial"/>
          <w:lang w:val="fr-FR"/>
        </w:rPr>
        <w:t>, en Turquie</w:t>
      </w:r>
      <w:r w:rsidR="00322FF5">
        <w:rPr>
          <w:rFonts w:ascii="Arial" w:hAnsi="Arial" w:cs="Arial"/>
          <w:lang w:val="fr-FR"/>
        </w:rPr>
        <w:t xml:space="preserve"> </w:t>
      </w:r>
      <w:r w:rsidR="00992D30" w:rsidRPr="00963572">
        <w:rPr>
          <w:rFonts w:ascii="Arial" w:hAnsi="Arial" w:cs="Arial"/>
          <w:lang w:val="fr-FR"/>
        </w:rPr>
        <w:t>; sur quatre de</w:t>
      </w:r>
      <w:r w:rsidR="0038588C" w:rsidRPr="00963572">
        <w:rPr>
          <w:rFonts w:ascii="Arial" w:hAnsi="Arial" w:cs="Arial"/>
          <w:lang w:val="fr-FR"/>
        </w:rPr>
        <w:t xml:space="preserve">stroyers américains de classe </w:t>
      </w:r>
      <w:proofErr w:type="spellStart"/>
      <w:r w:rsidR="0038588C" w:rsidRPr="00963572">
        <w:rPr>
          <w:rFonts w:ascii="Arial" w:hAnsi="Arial" w:cs="Arial"/>
          <w:lang w:val="fr-FR"/>
        </w:rPr>
        <w:t>Ae</w:t>
      </w:r>
      <w:r w:rsidR="00992D30" w:rsidRPr="00963572">
        <w:rPr>
          <w:rFonts w:ascii="Arial" w:hAnsi="Arial" w:cs="Arial"/>
          <w:lang w:val="fr-FR"/>
        </w:rPr>
        <w:t>gis</w:t>
      </w:r>
      <w:proofErr w:type="spellEnd"/>
      <w:r w:rsidR="00992D30" w:rsidRPr="00963572">
        <w:rPr>
          <w:rFonts w:ascii="Arial" w:hAnsi="Arial" w:cs="Arial"/>
          <w:lang w:val="fr-FR"/>
        </w:rPr>
        <w:t xml:space="preserve"> dotés de missiles S</w:t>
      </w:r>
      <w:r w:rsidR="00C9644F" w:rsidRPr="00963572">
        <w:rPr>
          <w:rFonts w:ascii="Arial" w:hAnsi="Arial" w:cs="Arial"/>
          <w:lang w:val="fr-FR"/>
        </w:rPr>
        <w:t xml:space="preserve">M3-block basés à Rota (Espagne) </w:t>
      </w:r>
      <w:r w:rsidR="00992D30" w:rsidRPr="00963572">
        <w:rPr>
          <w:rFonts w:ascii="Arial" w:hAnsi="Arial" w:cs="Arial"/>
          <w:lang w:val="fr-FR"/>
        </w:rPr>
        <w:t xml:space="preserve">et </w:t>
      </w:r>
      <w:r w:rsidR="00FA304D" w:rsidRPr="00963572">
        <w:rPr>
          <w:rFonts w:ascii="Arial" w:hAnsi="Arial" w:cs="Arial"/>
          <w:lang w:val="fr-FR"/>
        </w:rPr>
        <w:t>enfin,</w:t>
      </w:r>
      <w:r w:rsidR="00C9644F" w:rsidRPr="00963572">
        <w:rPr>
          <w:rFonts w:ascii="Arial" w:hAnsi="Arial" w:cs="Arial"/>
          <w:lang w:val="fr-FR"/>
        </w:rPr>
        <w:t xml:space="preserve"> </w:t>
      </w:r>
      <w:r w:rsidR="00992D30" w:rsidRPr="00963572">
        <w:rPr>
          <w:rFonts w:ascii="Arial" w:hAnsi="Arial" w:cs="Arial"/>
          <w:lang w:val="fr-FR"/>
        </w:rPr>
        <w:t xml:space="preserve">sur deux installations </w:t>
      </w:r>
      <w:proofErr w:type="spellStart"/>
      <w:r w:rsidR="00992D30" w:rsidRPr="00963572">
        <w:rPr>
          <w:rFonts w:ascii="Arial" w:hAnsi="Arial" w:cs="Arial"/>
          <w:lang w:val="fr-FR"/>
        </w:rPr>
        <w:t>Aegis</w:t>
      </w:r>
      <w:proofErr w:type="spellEnd"/>
      <w:r w:rsidR="00992D30" w:rsidRPr="00963572">
        <w:rPr>
          <w:rFonts w:ascii="Arial" w:hAnsi="Arial" w:cs="Arial"/>
          <w:lang w:val="fr-FR"/>
        </w:rPr>
        <w:t xml:space="preserve"> </w:t>
      </w:r>
      <w:proofErr w:type="spellStart"/>
      <w:r w:rsidR="00992D30" w:rsidRPr="00963572">
        <w:rPr>
          <w:rFonts w:ascii="Arial" w:hAnsi="Arial" w:cs="Arial"/>
          <w:lang w:val="fr-FR"/>
        </w:rPr>
        <w:t>Ashore</w:t>
      </w:r>
      <w:proofErr w:type="spellEnd"/>
      <w:r w:rsidR="00992D30" w:rsidRPr="00963572">
        <w:rPr>
          <w:rFonts w:ascii="Arial" w:hAnsi="Arial" w:cs="Arial"/>
          <w:lang w:val="fr-FR"/>
        </w:rPr>
        <w:t xml:space="preserve"> implantées respectivement à </w:t>
      </w:r>
      <w:proofErr w:type="spellStart"/>
      <w:r w:rsidR="00992D30" w:rsidRPr="00963572">
        <w:rPr>
          <w:rFonts w:ascii="Arial" w:hAnsi="Arial" w:cs="Arial"/>
          <w:lang w:val="fr-FR"/>
        </w:rPr>
        <w:t>Deveselu</w:t>
      </w:r>
      <w:proofErr w:type="spellEnd"/>
      <w:r w:rsidR="00992D30" w:rsidRPr="00963572">
        <w:rPr>
          <w:rFonts w:ascii="Arial" w:hAnsi="Arial" w:cs="Arial"/>
          <w:lang w:val="fr-FR"/>
        </w:rPr>
        <w:t xml:space="preserve"> (Roumanie) et à </w:t>
      </w:r>
      <w:proofErr w:type="spellStart"/>
      <w:r w:rsidR="00992D30" w:rsidRPr="00963572">
        <w:rPr>
          <w:rFonts w:ascii="Arial" w:hAnsi="Arial" w:cs="Arial"/>
          <w:lang w:val="fr-FR"/>
        </w:rPr>
        <w:t>Redzilowo</w:t>
      </w:r>
      <w:proofErr w:type="spellEnd"/>
      <w:r w:rsidR="00992D30" w:rsidRPr="00963572">
        <w:rPr>
          <w:rFonts w:ascii="Arial" w:hAnsi="Arial" w:cs="Arial"/>
          <w:lang w:val="fr-FR"/>
        </w:rPr>
        <w:t xml:space="preserve"> (Pologne).</w:t>
      </w:r>
    </w:p>
    <w:p w14:paraId="2525D3E3" w14:textId="77777777" w:rsidR="00966321" w:rsidRPr="007650B5" w:rsidRDefault="00966321" w:rsidP="007650B5">
      <w:pPr>
        <w:rPr>
          <w:rFonts w:eastAsia="Calibri"/>
        </w:rPr>
      </w:pPr>
    </w:p>
    <w:p w14:paraId="73C39C0F" w14:textId="37508923" w:rsidR="00966321" w:rsidRPr="00963572" w:rsidRDefault="00992D30"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La capacité opérationnelle initiale (IOC) du système OTAN de défense contre les missiles balistiques (BMD) a été déclarée en 2016, au cours du sommet de Varsovie. </w:t>
      </w:r>
      <w:r w:rsidRPr="00A5239A">
        <w:rPr>
          <w:rFonts w:ascii="Arial" w:hAnsi="Arial" w:cs="Arial"/>
          <w:lang w:val="fr-FR"/>
        </w:rPr>
        <w:t>Les p</w:t>
      </w:r>
      <w:r w:rsidR="00FA304D" w:rsidRPr="00A5239A">
        <w:rPr>
          <w:rFonts w:ascii="Arial" w:hAnsi="Arial" w:cs="Arial"/>
          <w:lang w:val="fr-FR"/>
        </w:rPr>
        <w:t xml:space="preserve">remiers éléments opérationnels </w:t>
      </w:r>
      <w:r w:rsidR="0042336F" w:rsidRPr="00A5239A">
        <w:rPr>
          <w:rFonts w:ascii="Arial" w:hAnsi="Arial" w:cs="Arial"/>
          <w:lang w:val="fr-FR"/>
        </w:rPr>
        <w:t xml:space="preserve">du système BMD de l’OTAN sont le </w:t>
      </w:r>
      <w:r w:rsidRPr="00A5239A">
        <w:rPr>
          <w:rFonts w:ascii="Arial" w:hAnsi="Arial" w:cs="Arial"/>
          <w:lang w:val="fr-FR"/>
        </w:rPr>
        <w:t xml:space="preserve">site </w:t>
      </w:r>
      <w:proofErr w:type="spellStart"/>
      <w:r w:rsidRPr="00A5239A">
        <w:rPr>
          <w:rFonts w:ascii="Arial" w:hAnsi="Arial" w:cs="Arial"/>
          <w:lang w:val="fr-FR"/>
        </w:rPr>
        <w:t>Aegis</w:t>
      </w:r>
      <w:proofErr w:type="spellEnd"/>
      <w:r w:rsidRPr="00A5239A">
        <w:rPr>
          <w:rFonts w:ascii="Arial" w:hAnsi="Arial" w:cs="Arial"/>
          <w:lang w:val="fr-FR"/>
        </w:rPr>
        <w:t xml:space="preserve"> </w:t>
      </w:r>
      <w:proofErr w:type="spellStart"/>
      <w:r w:rsidRPr="00A5239A">
        <w:rPr>
          <w:rFonts w:ascii="Arial" w:hAnsi="Arial" w:cs="Arial"/>
          <w:lang w:val="fr-FR"/>
        </w:rPr>
        <w:t>Ashore</w:t>
      </w:r>
      <w:proofErr w:type="spellEnd"/>
      <w:r w:rsidRPr="00A5239A">
        <w:rPr>
          <w:rFonts w:ascii="Arial" w:hAnsi="Arial" w:cs="Arial"/>
          <w:lang w:val="fr-FR"/>
        </w:rPr>
        <w:t xml:space="preserve"> de </w:t>
      </w:r>
      <w:proofErr w:type="spellStart"/>
      <w:r w:rsidRPr="00A5239A">
        <w:rPr>
          <w:rFonts w:ascii="Arial" w:hAnsi="Arial" w:cs="Arial"/>
          <w:lang w:val="fr-FR"/>
        </w:rPr>
        <w:t>Deves</w:t>
      </w:r>
      <w:r w:rsidR="00A5239A" w:rsidRPr="00A5239A">
        <w:rPr>
          <w:rFonts w:ascii="Arial" w:hAnsi="Arial" w:cs="Arial"/>
          <w:lang w:val="fr-FR"/>
        </w:rPr>
        <w:t>e</w:t>
      </w:r>
      <w:r w:rsidRPr="00A5239A">
        <w:rPr>
          <w:rFonts w:ascii="Arial" w:hAnsi="Arial" w:cs="Arial"/>
          <w:lang w:val="fr-FR"/>
        </w:rPr>
        <w:t>lu</w:t>
      </w:r>
      <w:proofErr w:type="spellEnd"/>
      <w:r w:rsidRPr="00A5239A">
        <w:rPr>
          <w:rFonts w:ascii="Arial" w:hAnsi="Arial" w:cs="Arial"/>
          <w:lang w:val="fr-FR"/>
        </w:rPr>
        <w:t xml:space="preserve"> – inauguré en Roumanie le 18 décembre 2015 (Tudor, 2015) et qui assure </w:t>
      </w:r>
      <w:proofErr w:type="gramStart"/>
      <w:r w:rsidRPr="00A5239A">
        <w:rPr>
          <w:rFonts w:ascii="Arial" w:hAnsi="Arial" w:cs="Arial"/>
          <w:lang w:val="fr-FR"/>
        </w:rPr>
        <w:t>la couverture anti-missiles</w:t>
      </w:r>
      <w:proofErr w:type="gramEnd"/>
      <w:r w:rsidRPr="00A5239A">
        <w:rPr>
          <w:rFonts w:ascii="Arial" w:hAnsi="Arial" w:cs="Arial"/>
          <w:lang w:val="fr-FR"/>
        </w:rPr>
        <w:t xml:space="preserve"> balistiques pour l’E</w:t>
      </w:r>
      <w:r w:rsidR="0042336F" w:rsidRPr="00A5239A">
        <w:rPr>
          <w:rFonts w:ascii="Arial" w:hAnsi="Arial" w:cs="Arial"/>
          <w:lang w:val="fr-FR"/>
        </w:rPr>
        <w:t xml:space="preserve">urope méridionale –, et </w:t>
      </w:r>
      <w:r w:rsidRPr="00A5239A">
        <w:rPr>
          <w:rFonts w:ascii="Arial" w:hAnsi="Arial" w:cs="Arial"/>
          <w:lang w:val="fr-FR"/>
        </w:rPr>
        <w:t xml:space="preserve">le radar BMD de détection lointaine </w:t>
      </w:r>
      <w:r w:rsidR="0042336F" w:rsidRPr="00A5239A">
        <w:rPr>
          <w:rFonts w:ascii="Arial" w:hAnsi="Arial" w:cs="Arial"/>
          <w:lang w:val="fr-FR"/>
        </w:rPr>
        <w:t xml:space="preserve">installé à </w:t>
      </w:r>
      <w:proofErr w:type="spellStart"/>
      <w:r w:rsidR="0042336F" w:rsidRPr="00A5239A">
        <w:rPr>
          <w:rFonts w:ascii="Arial" w:hAnsi="Arial" w:cs="Arial"/>
          <w:lang w:val="fr-FR"/>
        </w:rPr>
        <w:t>Kürecik</w:t>
      </w:r>
      <w:proofErr w:type="spellEnd"/>
      <w:r w:rsidR="0042336F" w:rsidRPr="00A5239A">
        <w:rPr>
          <w:rFonts w:ascii="Arial" w:hAnsi="Arial" w:cs="Arial"/>
          <w:lang w:val="fr-FR"/>
        </w:rPr>
        <w:t>, en Turquie</w:t>
      </w:r>
      <w:r w:rsidR="00A5239A">
        <w:rPr>
          <w:rFonts w:ascii="Arial" w:hAnsi="Arial" w:cs="Arial"/>
          <w:lang w:val="fr-FR"/>
        </w:rPr>
        <w:t xml:space="preserve"> (NATO(a), 2016)</w:t>
      </w:r>
      <w:r w:rsidR="0042336F" w:rsidRPr="00A5239A">
        <w:rPr>
          <w:rFonts w:ascii="Arial" w:hAnsi="Arial" w:cs="Arial"/>
          <w:lang w:val="fr-FR"/>
        </w:rPr>
        <w:t>. Le commandement et le contrôle du site roumain ont été transférés à l’OTAN en août 2016, et cette installation reçoit dorénavant ses instructions de la cellule Opérations de défense antimissile balistique du QG du commandement aérien allié (</w:t>
      </w:r>
      <w:r w:rsidR="00A5239A" w:rsidRPr="00A5239A">
        <w:rPr>
          <w:rFonts w:ascii="Arial" w:hAnsi="Arial" w:cs="Arial"/>
          <w:lang w:val="fr-FR"/>
        </w:rPr>
        <w:t>HQ</w:t>
      </w:r>
      <w:r w:rsidR="0042336F" w:rsidRPr="00A5239A">
        <w:rPr>
          <w:rFonts w:ascii="Arial" w:hAnsi="Arial" w:cs="Arial"/>
          <w:lang w:val="fr-FR"/>
        </w:rPr>
        <w:t xml:space="preserve"> AIRCOM, 2016). </w:t>
      </w:r>
      <w:r w:rsidR="00B10E64">
        <w:rPr>
          <w:rFonts w:ascii="Arial" w:hAnsi="Arial" w:cs="Arial"/>
          <w:lang w:val="fr-FR"/>
        </w:rPr>
        <w:t>Par ailleurs, mai </w:t>
      </w:r>
      <w:r w:rsidR="0042336F" w:rsidRPr="007650B5">
        <w:rPr>
          <w:rFonts w:ascii="Arial" w:hAnsi="Arial" w:cs="Arial"/>
          <w:lang w:val="fr-FR"/>
        </w:rPr>
        <w:t xml:space="preserve">2016 a vu la mise en chantier du site </w:t>
      </w:r>
      <w:proofErr w:type="spellStart"/>
      <w:r w:rsidR="0042336F" w:rsidRPr="007650B5">
        <w:rPr>
          <w:rFonts w:ascii="Arial" w:hAnsi="Arial" w:cs="Arial"/>
          <w:lang w:val="fr-FR"/>
        </w:rPr>
        <w:t>Aegis</w:t>
      </w:r>
      <w:proofErr w:type="spellEnd"/>
      <w:r w:rsidR="0042336F" w:rsidRPr="007650B5">
        <w:rPr>
          <w:rFonts w:ascii="Arial" w:hAnsi="Arial" w:cs="Arial"/>
          <w:lang w:val="fr-FR"/>
        </w:rPr>
        <w:t xml:space="preserve"> </w:t>
      </w:r>
      <w:proofErr w:type="spellStart"/>
      <w:r w:rsidR="0042336F" w:rsidRPr="007650B5">
        <w:rPr>
          <w:rFonts w:ascii="Arial" w:hAnsi="Arial" w:cs="Arial"/>
          <w:lang w:val="fr-FR"/>
        </w:rPr>
        <w:t>Ashore</w:t>
      </w:r>
      <w:proofErr w:type="spellEnd"/>
      <w:r w:rsidR="0042336F" w:rsidRPr="007650B5">
        <w:rPr>
          <w:rFonts w:ascii="Arial" w:hAnsi="Arial" w:cs="Arial"/>
          <w:lang w:val="fr-FR"/>
        </w:rPr>
        <w:t xml:space="preserve"> </w:t>
      </w:r>
      <w:r w:rsidR="00FA304D" w:rsidRPr="007650B5">
        <w:rPr>
          <w:rFonts w:ascii="Arial" w:hAnsi="Arial" w:cs="Arial"/>
          <w:lang w:val="fr-FR"/>
        </w:rPr>
        <w:t xml:space="preserve">qui opérera depuis </w:t>
      </w:r>
      <w:proofErr w:type="spellStart"/>
      <w:r w:rsidR="00FA304D" w:rsidRPr="007650B5">
        <w:rPr>
          <w:rFonts w:ascii="Arial" w:hAnsi="Arial" w:cs="Arial"/>
          <w:lang w:val="fr-FR"/>
        </w:rPr>
        <w:t>Redzikowo</w:t>
      </w:r>
      <w:proofErr w:type="spellEnd"/>
      <w:r w:rsidR="00FA304D" w:rsidRPr="007650B5">
        <w:rPr>
          <w:rFonts w:ascii="Arial" w:hAnsi="Arial" w:cs="Arial"/>
          <w:lang w:val="fr-FR"/>
        </w:rPr>
        <w:t xml:space="preserve">, en Pologne </w:t>
      </w:r>
      <w:r w:rsidR="00905A49" w:rsidRPr="007650B5">
        <w:rPr>
          <w:rFonts w:ascii="Arial" w:hAnsi="Arial" w:cs="Arial"/>
          <w:lang w:val="fr-FR"/>
        </w:rPr>
        <w:t>(</w:t>
      </w:r>
      <w:proofErr w:type="spellStart"/>
      <w:r w:rsidR="00905A49" w:rsidRPr="007650B5">
        <w:rPr>
          <w:rFonts w:ascii="Arial" w:hAnsi="Arial" w:cs="Arial"/>
          <w:lang w:val="fr-FR"/>
        </w:rPr>
        <w:t>Gotkowska</w:t>
      </w:r>
      <w:proofErr w:type="spellEnd"/>
      <w:r w:rsidR="00905A49" w:rsidRPr="007650B5">
        <w:rPr>
          <w:rFonts w:ascii="Arial" w:hAnsi="Arial" w:cs="Arial"/>
          <w:lang w:val="fr-FR"/>
        </w:rPr>
        <w:t>, 2016)</w:t>
      </w:r>
      <w:r w:rsidR="0042336F" w:rsidRPr="007650B5">
        <w:rPr>
          <w:rFonts w:ascii="Arial" w:hAnsi="Arial" w:cs="Arial"/>
          <w:lang w:val="fr-FR"/>
        </w:rPr>
        <w:t>.</w:t>
      </w:r>
      <w:r w:rsidR="00FA304D" w:rsidRPr="007650B5">
        <w:rPr>
          <w:rFonts w:ascii="Arial" w:hAnsi="Arial" w:cs="Arial"/>
          <w:lang w:val="fr-FR"/>
        </w:rPr>
        <w:t xml:space="preserve"> O</w:t>
      </w:r>
      <w:r w:rsidR="00905A49" w:rsidRPr="007650B5">
        <w:rPr>
          <w:rFonts w:ascii="Arial" w:hAnsi="Arial" w:cs="Arial"/>
          <w:lang w:val="fr-FR"/>
        </w:rPr>
        <w:t xml:space="preserve">pérationnel en 2018, </w:t>
      </w:r>
      <w:r w:rsidR="00FA304D" w:rsidRPr="007650B5">
        <w:rPr>
          <w:rFonts w:ascii="Arial" w:hAnsi="Arial" w:cs="Arial"/>
          <w:lang w:val="fr-FR"/>
        </w:rPr>
        <w:t xml:space="preserve">il </w:t>
      </w:r>
      <w:r w:rsidR="00905A49" w:rsidRPr="007650B5">
        <w:rPr>
          <w:rFonts w:ascii="Arial" w:hAnsi="Arial" w:cs="Arial"/>
          <w:lang w:val="fr-FR"/>
        </w:rPr>
        <w:t>appuiera la défense antimissile en Europe du Nord (</w:t>
      </w:r>
      <w:proofErr w:type="spellStart"/>
      <w:r w:rsidR="00905A49" w:rsidRPr="007650B5">
        <w:rPr>
          <w:rFonts w:ascii="Arial" w:hAnsi="Arial" w:cs="Arial"/>
          <w:lang w:val="fr-FR"/>
        </w:rPr>
        <w:t>Kacprzyk</w:t>
      </w:r>
      <w:proofErr w:type="spellEnd"/>
      <w:r w:rsidR="00905A49" w:rsidRPr="007650B5">
        <w:rPr>
          <w:rFonts w:ascii="Arial" w:hAnsi="Arial" w:cs="Arial"/>
          <w:lang w:val="fr-FR"/>
        </w:rPr>
        <w:t xml:space="preserve">, 2016). </w:t>
      </w:r>
      <w:r w:rsidR="00FA304D" w:rsidRPr="007650B5">
        <w:rPr>
          <w:rFonts w:ascii="Arial" w:hAnsi="Arial" w:cs="Arial"/>
          <w:lang w:val="fr-FR"/>
        </w:rPr>
        <w:t>L</w:t>
      </w:r>
      <w:r w:rsidR="007650B5" w:rsidRPr="007650B5">
        <w:rPr>
          <w:rFonts w:ascii="Arial" w:hAnsi="Arial" w:cs="Arial"/>
          <w:lang w:val="fr-FR"/>
        </w:rPr>
        <w:t xml:space="preserve">e </w:t>
      </w:r>
      <w:r w:rsidR="00905A49" w:rsidRPr="007650B5">
        <w:rPr>
          <w:rFonts w:ascii="Arial" w:hAnsi="Arial" w:cs="Arial"/>
          <w:lang w:val="fr-FR"/>
        </w:rPr>
        <w:t xml:space="preserve">développement des systèmes BMD de l’OTAN </w:t>
      </w:r>
      <w:r w:rsidR="00FA304D" w:rsidRPr="007650B5">
        <w:rPr>
          <w:rFonts w:ascii="Arial" w:hAnsi="Arial" w:cs="Arial"/>
          <w:lang w:val="fr-FR"/>
        </w:rPr>
        <w:t>devra forcément s’accompagner d’</w:t>
      </w:r>
      <w:r w:rsidR="00905A49" w:rsidRPr="007650B5">
        <w:rPr>
          <w:rFonts w:ascii="Arial" w:hAnsi="Arial" w:cs="Arial"/>
          <w:lang w:val="fr-FR"/>
        </w:rPr>
        <w:t xml:space="preserve">investissements </w:t>
      </w:r>
      <w:r w:rsidR="00FA304D" w:rsidRPr="007650B5">
        <w:rPr>
          <w:rFonts w:ascii="Arial" w:hAnsi="Arial" w:cs="Arial"/>
          <w:lang w:val="fr-FR"/>
        </w:rPr>
        <w:t xml:space="preserve">dans les </w:t>
      </w:r>
      <w:r w:rsidR="00905A49" w:rsidRPr="007650B5">
        <w:rPr>
          <w:rFonts w:ascii="Arial" w:hAnsi="Arial" w:cs="Arial"/>
          <w:lang w:val="fr-FR"/>
        </w:rPr>
        <w:t xml:space="preserve">réseaux C2, </w:t>
      </w:r>
      <w:r w:rsidR="00FA304D" w:rsidRPr="007650B5">
        <w:rPr>
          <w:rFonts w:ascii="Arial" w:hAnsi="Arial" w:cs="Arial"/>
          <w:lang w:val="fr-FR"/>
        </w:rPr>
        <w:t xml:space="preserve">et </w:t>
      </w:r>
      <w:r w:rsidR="00905A49" w:rsidRPr="007650B5">
        <w:rPr>
          <w:rFonts w:ascii="Arial" w:hAnsi="Arial" w:cs="Arial"/>
          <w:lang w:val="fr-FR"/>
        </w:rPr>
        <w:t xml:space="preserve">l’Alliance a </w:t>
      </w:r>
      <w:r w:rsidR="00FA304D" w:rsidRPr="007650B5">
        <w:rPr>
          <w:rFonts w:ascii="Arial" w:hAnsi="Arial" w:cs="Arial"/>
          <w:lang w:val="fr-FR"/>
        </w:rPr>
        <w:t xml:space="preserve">dès lors </w:t>
      </w:r>
      <w:r w:rsidR="00905A49" w:rsidRPr="007650B5">
        <w:rPr>
          <w:rFonts w:ascii="Arial" w:hAnsi="Arial" w:cs="Arial"/>
          <w:lang w:val="fr-FR"/>
        </w:rPr>
        <w:t>indiqué qu’elle projetait, au cours</w:t>
      </w:r>
      <w:r w:rsidR="00C9644F" w:rsidRPr="007650B5">
        <w:rPr>
          <w:rFonts w:ascii="Arial" w:hAnsi="Arial" w:cs="Arial"/>
          <w:lang w:val="fr-FR"/>
        </w:rPr>
        <w:t xml:space="preserve"> des trois prochaines années, </w:t>
      </w:r>
      <w:r w:rsidR="00905A49" w:rsidRPr="007650B5">
        <w:rPr>
          <w:rFonts w:ascii="Arial" w:hAnsi="Arial" w:cs="Arial"/>
          <w:lang w:val="fr-FR"/>
        </w:rPr>
        <w:t xml:space="preserve">investir 3 milliards d’euros dans </w:t>
      </w:r>
      <w:r w:rsidR="00C9644F" w:rsidRPr="007650B5">
        <w:rPr>
          <w:rFonts w:ascii="Arial" w:hAnsi="Arial" w:cs="Arial"/>
          <w:lang w:val="fr-FR"/>
        </w:rPr>
        <w:t>différentes</w:t>
      </w:r>
      <w:r w:rsidR="00FA304D" w:rsidRPr="007650B5">
        <w:rPr>
          <w:rFonts w:ascii="Arial" w:hAnsi="Arial" w:cs="Arial"/>
          <w:lang w:val="fr-FR"/>
        </w:rPr>
        <w:t xml:space="preserve"> technologies de défense, </w:t>
      </w:r>
      <w:r w:rsidR="00905A49" w:rsidRPr="007650B5">
        <w:rPr>
          <w:rFonts w:ascii="Arial" w:hAnsi="Arial" w:cs="Arial"/>
          <w:lang w:val="fr-FR"/>
        </w:rPr>
        <w:t xml:space="preserve">notamment </w:t>
      </w:r>
      <w:r w:rsidR="00FA304D" w:rsidRPr="007650B5">
        <w:rPr>
          <w:rFonts w:ascii="Arial" w:hAnsi="Arial" w:cs="Arial"/>
          <w:lang w:val="fr-FR"/>
        </w:rPr>
        <w:t xml:space="preserve">de type </w:t>
      </w:r>
      <w:r w:rsidR="00905A49" w:rsidRPr="007650B5">
        <w:rPr>
          <w:rFonts w:ascii="Arial" w:hAnsi="Arial" w:cs="Arial"/>
          <w:lang w:val="fr-FR"/>
        </w:rPr>
        <w:t xml:space="preserve">C2. </w:t>
      </w:r>
      <w:r w:rsidR="00905A49" w:rsidRPr="00963572">
        <w:rPr>
          <w:rFonts w:ascii="Arial" w:hAnsi="Arial" w:cs="Arial"/>
          <w:lang w:val="fr-FR"/>
        </w:rPr>
        <w:t>Ce montant sera affecté pour moitié à des moyens de communication par satellite (NCIA, 2016).</w:t>
      </w:r>
    </w:p>
    <w:p w14:paraId="3246D8C5" w14:textId="77777777" w:rsidR="00966321" w:rsidRPr="007650B5" w:rsidRDefault="00966321" w:rsidP="007650B5"/>
    <w:p w14:paraId="62F6D801" w14:textId="36AA8511" w:rsidR="00966321" w:rsidRPr="00963572" w:rsidRDefault="00FA304D" w:rsidP="00825AB9">
      <w:pPr>
        <w:pStyle w:val="ListParagraph"/>
        <w:numPr>
          <w:ilvl w:val="0"/>
          <w:numId w:val="25"/>
        </w:numPr>
        <w:tabs>
          <w:tab w:val="left" w:pos="567"/>
        </w:tabs>
        <w:ind w:left="0" w:firstLine="0"/>
        <w:jc w:val="both"/>
        <w:rPr>
          <w:rFonts w:ascii="Arial" w:hAnsi="Arial" w:cs="Arial"/>
          <w:lang w:val="fr-FR"/>
        </w:rPr>
      </w:pPr>
      <w:r w:rsidRPr="00A5239A">
        <w:rPr>
          <w:rFonts w:ascii="Arial" w:hAnsi="Arial" w:cs="Arial"/>
          <w:lang w:val="fr-FR"/>
        </w:rPr>
        <w:t xml:space="preserve">Afin de devancer </w:t>
      </w:r>
      <w:r w:rsidR="00905A49" w:rsidRPr="00A5239A">
        <w:rPr>
          <w:rFonts w:ascii="Arial" w:hAnsi="Arial" w:cs="Arial"/>
          <w:lang w:val="fr-FR"/>
        </w:rPr>
        <w:t xml:space="preserve">la réaction de Moscou </w:t>
      </w:r>
      <w:r w:rsidR="00C9644F" w:rsidRPr="00A5239A">
        <w:rPr>
          <w:rFonts w:ascii="Arial" w:hAnsi="Arial" w:cs="Arial"/>
          <w:lang w:val="fr-FR"/>
        </w:rPr>
        <w:t xml:space="preserve">face </w:t>
      </w:r>
      <w:r w:rsidR="004133EC" w:rsidRPr="00A5239A">
        <w:rPr>
          <w:rFonts w:ascii="Arial" w:hAnsi="Arial" w:cs="Arial"/>
          <w:lang w:val="fr-FR"/>
        </w:rPr>
        <w:t>à l’évolution annoncée du</w:t>
      </w:r>
      <w:r w:rsidR="00905A49" w:rsidRPr="00A5239A">
        <w:rPr>
          <w:rFonts w:ascii="Arial" w:hAnsi="Arial" w:cs="Arial"/>
          <w:lang w:val="fr-FR"/>
        </w:rPr>
        <w:t xml:space="preserve"> système BMD de l’Alliance, l’</w:t>
      </w:r>
      <w:r w:rsidR="00450ED2" w:rsidRPr="00A5239A">
        <w:rPr>
          <w:rFonts w:ascii="Arial" w:hAnsi="Arial" w:cs="Arial"/>
          <w:lang w:val="fr-FR"/>
        </w:rPr>
        <w:t>OTAN a indiqué en termes très clairs, dans l</w:t>
      </w:r>
      <w:r w:rsidR="00A5239A">
        <w:rPr>
          <w:rFonts w:ascii="Arial" w:hAnsi="Arial" w:cs="Arial"/>
          <w:lang w:val="fr-FR"/>
        </w:rPr>
        <w:t>es</w:t>
      </w:r>
      <w:r w:rsidR="004133EC" w:rsidRPr="00A5239A">
        <w:rPr>
          <w:rFonts w:ascii="Arial" w:hAnsi="Arial" w:cs="Arial"/>
          <w:lang w:val="fr-FR"/>
        </w:rPr>
        <w:t xml:space="preserve"> D</w:t>
      </w:r>
      <w:r w:rsidR="00450ED2" w:rsidRPr="00A5239A">
        <w:rPr>
          <w:rFonts w:ascii="Arial" w:hAnsi="Arial" w:cs="Arial"/>
          <w:lang w:val="fr-FR"/>
        </w:rPr>
        <w:t>éclaration</w:t>
      </w:r>
      <w:r w:rsidR="00A5239A">
        <w:rPr>
          <w:rFonts w:ascii="Arial" w:hAnsi="Arial" w:cs="Arial"/>
          <w:lang w:val="fr-FR"/>
        </w:rPr>
        <w:t>s</w:t>
      </w:r>
      <w:r w:rsidR="00450ED2" w:rsidRPr="00A5239A">
        <w:rPr>
          <w:rFonts w:ascii="Arial" w:hAnsi="Arial" w:cs="Arial"/>
          <w:lang w:val="fr-FR"/>
        </w:rPr>
        <w:t xml:space="preserve"> du</w:t>
      </w:r>
      <w:r w:rsidR="00C9644F" w:rsidRPr="00A5239A">
        <w:rPr>
          <w:rFonts w:ascii="Arial" w:hAnsi="Arial" w:cs="Arial"/>
          <w:lang w:val="fr-FR"/>
        </w:rPr>
        <w:t xml:space="preserve"> sommet de Varsovie, que la BMD ne serait pas dirigée contre la Russie mais</w:t>
      </w:r>
      <w:r w:rsidR="00450ED2" w:rsidRPr="00A5239A">
        <w:rPr>
          <w:rFonts w:ascii="Arial" w:hAnsi="Arial" w:cs="Arial"/>
          <w:lang w:val="fr-FR"/>
        </w:rPr>
        <w:t xml:space="preserve"> </w:t>
      </w:r>
      <w:r w:rsidR="00C9644F" w:rsidRPr="00A5239A">
        <w:rPr>
          <w:rFonts w:ascii="Arial" w:hAnsi="Arial" w:cs="Arial"/>
          <w:lang w:val="fr-FR"/>
        </w:rPr>
        <w:t>assure</w:t>
      </w:r>
      <w:r w:rsidRPr="00A5239A">
        <w:rPr>
          <w:rFonts w:ascii="Arial" w:hAnsi="Arial" w:cs="Arial"/>
          <w:lang w:val="fr-FR"/>
        </w:rPr>
        <w:t xml:space="preserve">rait </w:t>
      </w:r>
      <w:r w:rsidR="00450ED2" w:rsidRPr="00A5239A">
        <w:rPr>
          <w:rFonts w:ascii="Arial" w:hAnsi="Arial" w:cs="Arial"/>
          <w:lang w:val="fr-FR"/>
        </w:rPr>
        <w:t>la défense contre des menaces potentiell</w:t>
      </w:r>
      <w:r w:rsidR="00A5239A" w:rsidRPr="00A5239A">
        <w:rPr>
          <w:rFonts w:ascii="Arial" w:hAnsi="Arial" w:cs="Arial"/>
          <w:lang w:val="fr-FR"/>
        </w:rPr>
        <w:t xml:space="preserve">es </w:t>
      </w:r>
      <w:r w:rsidR="00F96463">
        <w:rPr>
          <w:rFonts w:ascii="Arial" w:hAnsi="Arial" w:cs="Arial"/>
          <w:lang w:val="fr-FR"/>
        </w:rPr>
        <w:t>n'émanant pas de la zone euro-</w:t>
      </w:r>
      <w:r w:rsidR="00450ED2" w:rsidRPr="00A5239A">
        <w:rPr>
          <w:rFonts w:ascii="Arial" w:hAnsi="Arial" w:cs="Arial"/>
          <w:lang w:val="fr-FR"/>
        </w:rPr>
        <w:t xml:space="preserve">atlantique. </w:t>
      </w:r>
      <w:r w:rsidRPr="00963572">
        <w:rPr>
          <w:rFonts w:ascii="Arial" w:hAnsi="Arial" w:cs="Arial"/>
          <w:lang w:val="fr-FR"/>
        </w:rPr>
        <w:t xml:space="preserve">Pour </w:t>
      </w:r>
      <w:r w:rsidR="00450ED2" w:rsidRPr="00963572">
        <w:rPr>
          <w:rFonts w:ascii="Arial" w:hAnsi="Arial" w:cs="Arial"/>
          <w:lang w:val="fr-FR"/>
        </w:rPr>
        <w:t xml:space="preserve">atténuer les inquiétudes que pourrait susciter, en Russie, </w:t>
      </w:r>
      <w:r w:rsidR="00C9644F" w:rsidRPr="00963572">
        <w:rPr>
          <w:rFonts w:ascii="Arial" w:hAnsi="Arial" w:cs="Arial"/>
          <w:lang w:val="fr-FR"/>
        </w:rPr>
        <w:t>l’évolution du</w:t>
      </w:r>
      <w:r w:rsidR="00450ED2" w:rsidRPr="00963572">
        <w:rPr>
          <w:rFonts w:ascii="Arial" w:hAnsi="Arial" w:cs="Arial"/>
          <w:lang w:val="fr-FR"/>
        </w:rPr>
        <w:t xml:space="preserve"> système, et dissiper tout malentendu quant à une exploitation de ce dernier à des fins offensives, les </w:t>
      </w:r>
      <w:r w:rsidR="004133EC" w:rsidRPr="00963572">
        <w:rPr>
          <w:rFonts w:ascii="Arial" w:hAnsi="Arial" w:cs="Arial"/>
          <w:lang w:val="fr-FR"/>
        </w:rPr>
        <w:t>documents</w:t>
      </w:r>
      <w:r w:rsidR="00450ED2" w:rsidRPr="00963572">
        <w:rPr>
          <w:rFonts w:ascii="Arial" w:hAnsi="Arial" w:cs="Arial"/>
          <w:lang w:val="fr-FR"/>
        </w:rPr>
        <w:t xml:space="preserve"> du sommet vont jusqu’à indiquer que sous sa forme actuelle, le dispositif n’est pas en mesure d’assurer une protection contre les forces nucléaires stratégiques russes, et que le statu quo nucléaire est donc préservé (NATO(a), 2016).</w:t>
      </w:r>
    </w:p>
    <w:p w14:paraId="3DF339BE" w14:textId="77777777" w:rsidR="00D55FEA" w:rsidRPr="00873F20" w:rsidRDefault="00D55FEA" w:rsidP="00E82B20"/>
    <w:p w14:paraId="36FB10B4" w14:textId="13A579D4" w:rsidR="00D55FEA" w:rsidRPr="00873F20" w:rsidRDefault="00A5239A" w:rsidP="00966321">
      <w:pPr>
        <w:pStyle w:val="Heading2"/>
        <w:numPr>
          <w:ilvl w:val="0"/>
          <w:numId w:val="0"/>
        </w:numPr>
        <w:tabs>
          <w:tab w:val="clear" w:pos="567"/>
        </w:tabs>
        <w:ind w:left="567"/>
      </w:pPr>
      <w:bookmarkStart w:id="19" w:name="_Toc464810726"/>
      <w:r>
        <w:t>H</w:t>
      </w:r>
      <w:r w:rsidR="00966321" w:rsidRPr="00873F20">
        <w:t>.</w:t>
      </w:r>
      <w:r w:rsidR="00966321" w:rsidRPr="00873F20">
        <w:tab/>
      </w:r>
      <w:r w:rsidR="00D55FEA" w:rsidRPr="00873F20">
        <w:t>La posture nucl</w:t>
      </w:r>
      <w:r w:rsidR="00D859A6" w:rsidRPr="00873F20">
        <w:t>É</w:t>
      </w:r>
      <w:r w:rsidR="00D55FEA" w:rsidRPr="00873F20">
        <w:t>aire de l’OTAN</w:t>
      </w:r>
      <w:bookmarkEnd w:id="19"/>
      <w:r w:rsidR="00D55FEA" w:rsidRPr="00873F20">
        <w:t xml:space="preserve"> </w:t>
      </w:r>
    </w:p>
    <w:p w14:paraId="58BCABB2" w14:textId="77777777" w:rsidR="00C02C3A" w:rsidRPr="00873F20" w:rsidRDefault="00C02C3A" w:rsidP="00C02C3A">
      <w:pPr>
        <w:rPr>
          <w:highlight w:val="yellow"/>
        </w:rPr>
      </w:pPr>
    </w:p>
    <w:p w14:paraId="5913B17E" w14:textId="0313AF43"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A5239A">
        <w:rPr>
          <w:rFonts w:ascii="Arial" w:hAnsi="Arial" w:cs="Arial"/>
          <w:lang w:val="fr-FR"/>
        </w:rPr>
        <w:t>Le risque de voir des armes nucléaires utilisées dans la région euro-atlantique n’a peut-être jamais été a</w:t>
      </w:r>
      <w:r w:rsidR="00491441" w:rsidRPr="00A5239A">
        <w:rPr>
          <w:rFonts w:ascii="Arial" w:hAnsi="Arial" w:cs="Arial"/>
          <w:lang w:val="fr-FR"/>
        </w:rPr>
        <w:t>ussi élevé depuis la fin de la g</w:t>
      </w:r>
      <w:r w:rsidRPr="00A5239A">
        <w:rPr>
          <w:rFonts w:ascii="Arial" w:hAnsi="Arial" w:cs="Arial"/>
          <w:lang w:val="fr-FR"/>
        </w:rPr>
        <w:t xml:space="preserve">uerre froide. </w:t>
      </w:r>
      <w:r w:rsidRPr="00963572">
        <w:rPr>
          <w:rFonts w:ascii="Arial" w:hAnsi="Arial" w:cs="Arial"/>
          <w:lang w:val="fr-FR"/>
        </w:rPr>
        <w:t xml:space="preserve">La partie de bras de fer dans laquelle la Russie et les </w:t>
      </w:r>
      <w:r w:rsidR="00E11330" w:rsidRPr="00963572">
        <w:rPr>
          <w:rFonts w:ascii="Arial" w:hAnsi="Arial" w:cs="Arial"/>
          <w:lang w:val="fr-FR"/>
        </w:rPr>
        <w:t>État</w:t>
      </w:r>
      <w:r w:rsidRPr="00963572">
        <w:rPr>
          <w:rFonts w:ascii="Arial" w:hAnsi="Arial" w:cs="Arial"/>
          <w:lang w:val="fr-FR"/>
        </w:rPr>
        <w:t xml:space="preserve">s-Unis sont engagés </w:t>
      </w:r>
      <w:r w:rsidR="00F515EB" w:rsidRPr="00963572">
        <w:rPr>
          <w:rFonts w:ascii="Arial" w:hAnsi="Arial" w:cs="Arial"/>
          <w:lang w:val="fr-FR"/>
        </w:rPr>
        <w:t>depuis quelque</w:t>
      </w:r>
      <w:r w:rsidR="00B10E64">
        <w:rPr>
          <w:rFonts w:ascii="Arial" w:hAnsi="Arial" w:cs="Arial"/>
          <w:lang w:val="fr-FR"/>
        </w:rPr>
        <w:t>s</w:t>
      </w:r>
      <w:r w:rsidR="00F515EB" w:rsidRPr="00963572">
        <w:rPr>
          <w:rFonts w:ascii="Arial" w:hAnsi="Arial" w:cs="Arial"/>
          <w:lang w:val="fr-FR"/>
        </w:rPr>
        <w:t xml:space="preserve"> temps</w:t>
      </w:r>
      <w:r w:rsidRPr="00963572">
        <w:rPr>
          <w:rFonts w:ascii="Arial" w:hAnsi="Arial" w:cs="Arial"/>
          <w:lang w:val="fr-FR"/>
        </w:rPr>
        <w:t xml:space="preserve"> </w:t>
      </w:r>
      <w:r w:rsidR="00F515EB" w:rsidRPr="00963572">
        <w:rPr>
          <w:rFonts w:ascii="Arial" w:hAnsi="Arial" w:cs="Arial"/>
          <w:lang w:val="fr-FR"/>
        </w:rPr>
        <w:t>au</w:t>
      </w:r>
      <w:r w:rsidR="00963572">
        <w:rPr>
          <w:rFonts w:ascii="Arial" w:hAnsi="Arial" w:cs="Arial"/>
          <w:lang w:val="fr-FR"/>
        </w:rPr>
        <w:t>x</w:t>
      </w:r>
      <w:r w:rsidR="00F515EB" w:rsidRPr="00963572">
        <w:rPr>
          <w:rFonts w:ascii="Arial" w:hAnsi="Arial" w:cs="Arial"/>
          <w:lang w:val="fr-FR"/>
        </w:rPr>
        <w:t xml:space="preserve"> niveau</w:t>
      </w:r>
      <w:r w:rsidR="00963572">
        <w:rPr>
          <w:rFonts w:ascii="Arial" w:hAnsi="Arial" w:cs="Arial"/>
          <w:lang w:val="fr-FR"/>
        </w:rPr>
        <w:t>x</w:t>
      </w:r>
      <w:r w:rsidR="00F515EB" w:rsidRPr="00963572">
        <w:rPr>
          <w:rFonts w:ascii="Arial" w:hAnsi="Arial" w:cs="Arial"/>
          <w:lang w:val="fr-FR"/>
        </w:rPr>
        <w:t xml:space="preserve"> régional et </w:t>
      </w:r>
      <w:r w:rsidR="00963572">
        <w:rPr>
          <w:rFonts w:ascii="Arial" w:hAnsi="Arial" w:cs="Arial"/>
          <w:lang w:val="fr-FR"/>
        </w:rPr>
        <w:t>internationa</w:t>
      </w:r>
      <w:r w:rsidR="00F515EB" w:rsidRPr="00963572">
        <w:rPr>
          <w:rFonts w:ascii="Arial" w:hAnsi="Arial" w:cs="Arial"/>
          <w:lang w:val="fr-FR"/>
        </w:rPr>
        <w:t xml:space="preserve">l </w:t>
      </w:r>
      <w:r w:rsidRPr="00963572">
        <w:rPr>
          <w:rFonts w:ascii="Arial" w:hAnsi="Arial" w:cs="Arial"/>
          <w:lang w:val="fr-FR"/>
        </w:rPr>
        <w:t>est de plus en plus propice à des erreurs d’appréciation (</w:t>
      </w:r>
      <w:proofErr w:type="spellStart"/>
      <w:r w:rsidRPr="00963572">
        <w:rPr>
          <w:rFonts w:ascii="Arial" w:hAnsi="Arial" w:cs="Arial"/>
          <w:lang w:val="fr-FR"/>
        </w:rPr>
        <w:t>Berls</w:t>
      </w:r>
      <w:proofErr w:type="spellEnd"/>
      <w:r w:rsidRPr="00963572">
        <w:rPr>
          <w:rFonts w:ascii="Arial" w:hAnsi="Arial" w:cs="Arial"/>
          <w:lang w:val="fr-FR"/>
        </w:rPr>
        <w:t xml:space="preserve"> et </w:t>
      </w:r>
      <w:proofErr w:type="spellStart"/>
      <w:r w:rsidRPr="00963572">
        <w:rPr>
          <w:rFonts w:ascii="Arial" w:hAnsi="Arial" w:cs="Arial"/>
          <w:lang w:val="fr-FR"/>
        </w:rPr>
        <w:t>Ratz</w:t>
      </w:r>
      <w:proofErr w:type="spellEnd"/>
      <w:r w:rsidRPr="00963572">
        <w:rPr>
          <w:rFonts w:ascii="Arial" w:hAnsi="Arial" w:cs="Arial"/>
          <w:lang w:val="fr-FR"/>
        </w:rPr>
        <w:t xml:space="preserve">, 2015). La politique de l’OTAN stipule que la probabilité d’un recours aux armes nucléaires en première frappe reste extrêmement peu vraisemblable, </w:t>
      </w:r>
      <w:r w:rsidR="00F515EB" w:rsidRPr="00963572">
        <w:rPr>
          <w:rFonts w:ascii="Arial" w:hAnsi="Arial" w:cs="Arial"/>
          <w:lang w:val="fr-FR"/>
        </w:rPr>
        <w:t>ce qui explique pourquoi</w:t>
      </w:r>
      <w:r w:rsidRPr="00963572">
        <w:rPr>
          <w:rFonts w:ascii="Arial" w:hAnsi="Arial" w:cs="Arial"/>
          <w:lang w:val="fr-FR"/>
        </w:rPr>
        <w:t xml:space="preserve"> l’arsenal nucléaire stationné en Europe est considérablement plus léger, </w:t>
      </w:r>
      <w:r w:rsidR="00F515EB" w:rsidRPr="00963572">
        <w:rPr>
          <w:rFonts w:ascii="Arial" w:hAnsi="Arial" w:cs="Arial"/>
          <w:lang w:val="fr-FR"/>
        </w:rPr>
        <w:t>numériquement parlant</w:t>
      </w:r>
      <w:r w:rsidR="004D1DEB" w:rsidRPr="00963572">
        <w:rPr>
          <w:rFonts w:ascii="Arial" w:hAnsi="Arial" w:cs="Arial"/>
          <w:lang w:val="fr-FR"/>
        </w:rPr>
        <w:t>, qu’il y a quelques décennies</w:t>
      </w:r>
      <w:r w:rsidRPr="00963572">
        <w:rPr>
          <w:rFonts w:ascii="Arial" w:hAnsi="Arial" w:cs="Arial"/>
          <w:lang w:val="fr-FR"/>
        </w:rPr>
        <w:t xml:space="preserve">. Les </w:t>
      </w:r>
      <w:r w:rsidR="00E11330" w:rsidRPr="00963572">
        <w:rPr>
          <w:rFonts w:ascii="Arial" w:hAnsi="Arial" w:cs="Arial"/>
          <w:lang w:val="fr-FR"/>
        </w:rPr>
        <w:t>État</w:t>
      </w:r>
      <w:r w:rsidRPr="00963572">
        <w:rPr>
          <w:rFonts w:ascii="Arial" w:hAnsi="Arial" w:cs="Arial"/>
          <w:lang w:val="fr-FR"/>
        </w:rPr>
        <w:t xml:space="preserve">s-Unis, la France et le Royaume-Uni conservent à ce jour leurs dispositifs de dissuasion indépendants, </w:t>
      </w:r>
      <w:r w:rsidR="00F515EB" w:rsidRPr="00963572">
        <w:rPr>
          <w:rFonts w:ascii="Arial" w:hAnsi="Arial" w:cs="Arial"/>
          <w:lang w:val="fr-FR"/>
        </w:rPr>
        <w:t>et</w:t>
      </w:r>
      <w:r w:rsidRPr="00963572">
        <w:rPr>
          <w:rFonts w:ascii="Arial" w:hAnsi="Arial" w:cs="Arial"/>
          <w:lang w:val="fr-FR"/>
        </w:rPr>
        <w:t xml:space="preserve"> restent intégrés à la posture de dissuasion stratégique </w:t>
      </w:r>
      <w:r w:rsidR="00F515EB" w:rsidRPr="00963572">
        <w:rPr>
          <w:rFonts w:ascii="Arial" w:hAnsi="Arial" w:cs="Arial"/>
          <w:lang w:val="fr-FR"/>
        </w:rPr>
        <w:t>globale</w:t>
      </w:r>
      <w:r w:rsidRPr="00963572">
        <w:rPr>
          <w:rFonts w:ascii="Arial" w:hAnsi="Arial" w:cs="Arial"/>
          <w:lang w:val="fr-FR"/>
        </w:rPr>
        <w:t xml:space="preserve"> de l’Alliance. </w:t>
      </w:r>
    </w:p>
    <w:p w14:paraId="638D02D7" w14:textId="77777777" w:rsidR="00C02C3A" w:rsidRPr="00A5239A" w:rsidRDefault="00C02C3A" w:rsidP="00A5239A"/>
    <w:p w14:paraId="33B2EAAB" w14:textId="0F130A21"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Des voix se font toutefois entendre en faveur d’un rôle accru pour les armes nucléaires dans la posture de dissuasion de l’OTAN (</w:t>
      </w:r>
      <w:proofErr w:type="spellStart"/>
      <w:r w:rsidRPr="00963572">
        <w:rPr>
          <w:rFonts w:ascii="Arial" w:hAnsi="Arial" w:cs="Arial"/>
          <w:lang w:val="fr-FR"/>
        </w:rPr>
        <w:t>Kubiak</w:t>
      </w:r>
      <w:proofErr w:type="spellEnd"/>
      <w:r w:rsidRPr="00963572">
        <w:rPr>
          <w:rFonts w:ascii="Arial" w:hAnsi="Arial" w:cs="Arial"/>
          <w:lang w:val="fr-FR"/>
        </w:rPr>
        <w:t xml:space="preserve"> et Meier, 2016</w:t>
      </w:r>
      <w:r w:rsidR="004D1DEB" w:rsidRPr="00963572">
        <w:rPr>
          <w:rFonts w:ascii="Arial" w:hAnsi="Arial" w:cs="Arial"/>
          <w:lang w:val="fr-FR"/>
        </w:rPr>
        <w:t xml:space="preserve"> </w:t>
      </w:r>
      <w:r w:rsidRPr="00963572">
        <w:rPr>
          <w:rFonts w:ascii="Arial" w:hAnsi="Arial" w:cs="Arial"/>
          <w:lang w:val="fr-FR"/>
        </w:rPr>
        <w:t xml:space="preserve">; Larsen, 2016). Pour les partisans de cette approche, la modernisation des armes nucléaires doit prendre le pas sur leur réduction, et il conviendrait, pour asseoir la crédibilité du système en place et maintenir les compétences nécessaires, de </w:t>
      </w:r>
      <w:r w:rsidR="00F515EB" w:rsidRPr="00963572">
        <w:rPr>
          <w:rFonts w:ascii="Arial" w:hAnsi="Arial" w:cs="Arial"/>
          <w:lang w:val="fr-FR"/>
        </w:rPr>
        <w:t>miser sur</w:t>
      </w:r>
      <w:r w:rsidRPr="00963572">
        <w:rPr>
          <w:rFonts w:ascii="Arial" w:hAnsi="Arial" w:cs="Arial"/>
          <w:lang w:val="fr-FR"/>
        </w:rPr>
        <w:t xml:space="preserve"> la planification et les jeux de guerre. Les plus </w:t>
      </w:r>
      <w:r w:rsidR="00B10E64">
        <w:rPr>
          <w:rFonts w:ascii="Arial" w:hAnsi="Arial" w:cs="Arial"/>
          <w:lang w:val="fr-FR"/>
        </w:rPr>
        <w:t>audacieux</w:t>
      </w:r>
      <w:r w:rsidRPr="00963572">
        <w:rPr>
          <w:rFonts w:ascii="Arial" w:hAnsi="Arial" w:cs="Arial"/>
          <w:lang w:val="fr-FR"/>
        </w:rPr>
        <w:t xml:space="preserve"> proposent de modifier les schémas de déploiement de l’OTAN. L’a</w:t>
      </w:r>
      <w:r w:rsidR="00D97021" w:rsidRPr="00963572">
        <w:rPr>
          <w:rFonts w:ascii="Arial" w:hAnsi="Arial" w:cs="Arial"/>
          <w:lang w:val="fr-FR"/>
        </w:rPr>
        <w:t xml:space="preserve">rsenal actuel se compose </w:t>
      </w:r>
      <w:r w:rsidR="00F96463">
        <w:rPr>
          <w:rFonts w:ascii="Arial" w:hAnsi="Arial" w:cs="Arial"/>
          <w:lang w:val="fr-FR"/>
        </w:rPr>
        <w:t>d’</w:t>
      </w:r>
      <w:r w:rsidR="00963572">
        <w:rPr>
          <w:rFonts w:ascii="Arial" w:hAnsi="Arial" w:cs="Arial"/>
          <w:lang w:val="fr-FR"/>
        </w:rPr>
        <w:t>environ</w:t>
      </w:r>
      <w:r w:rsidR="00D97021" w:rsidRPr="00963572">
        <w:rPr>
          <w:rFonts w:ascii="Arial" w:hAnsi="Arial" w:cs="Arial"/>
          <w:lang w:val="fr-FR"/>
        </w:rPr>
        <w:t xml:space="preserve"> 180 </w:t>
      </w:r>
      <w:r w:rsidRPr="00963572">
        <w:rPr>
          <w:rFonts w:ascii="Arial" w:hAnsi="Arial" w:cs="Arial"/>
          <w:lang w:val="fr-FR"/>
        </w:rPr>
        <w:t xml:space="preserve">bombes nucléaires </w:t>
      </w:r>
      <w:r w:rsidR="00F515EB" w:rsidRPr="00963572">
        <w:rPr>
          <w:rFonts w:ascii="Arial" w:hAnsi="Arial" w:cs="Arial"/>
          <w:lang w:val="fr-FR"/>
        </w:rPr>
        <w:t xml:space="preserve">à gravitation de type </w:t>
      </w:r>
      <w:r w:rsidRPr="00963572">
        <w:rPr>
          <w:rFonts w:ascii="Arial" w:hAnsi="Arial" w:cs="Arial"/>
          <w:lang w:val="fr-FR"/>
        </w:rPr>
        <w:t>B61 réparties dans six bases en Belgique, en Allemagne, en Italie, aux Pays-Bas et en Turquie. De leur côté, les membres d’Europe occidentale, redoutant une course aux armements nucléaires et soucieux de ne pas provoquer la Russie, sont généralement favorables à un statu quo. D’après eux, un revirement radical de la posture nucléaire de l’OTAN aurait de graves incidences dont les effets seraient particulièrement perceptibles sur la relation de l’Alliance avec la Russie</w:t>
      </w:r>
      <w:r w:rsidR="00D97021" w:rsidRPr="00963572">
        <w:rPr>
          <w:rFonts w:ascii="Arial" w:hAnsi="Arial" w:cs="Arial"/>
          <w:lang w:val="fr-FR"/>
        </w:rPr>
        <w:t xml:space="preserve"> (Meier, 2016)</w:t>
      </w:r>
      <w:r w:rsidRPr="00963572">
        <w:rPr>
          <w:rFonts w:ascii="Arial" w:hAnsi="Arial" w:cs="Arial"/>
          <w:lang w:val="fr-FR"/>
        </w:rPr>
        <w:t>.</w:t>
      </w:r>
    </w:p>
    <w:p w14:paraId="71E15F8F" w14:textId="77777777" w:rsidR="00C02C3A" w:rsidRPr="00A5239A" w:rsidRDefault="00C02C3A" w:rsidP="00A5239A"/>
    <w:p w14:paraId="6E1BEF0D" w14:textId="7FE160D7" w:rsidR="00D55FEA" w:rsidRPr="00963572" w:rsidRDefault="00D55FEA"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L’Acte fondateur OTAN-Russie de 1997 réaffirme, il est vrai, que l’OTAN ne projette pas de déployer des armes nucléaires sur le territoire des nouveaux membres. Mais aux yeux de la Russie, un simple renforcement conventionnel des capacités OTAN présentes dans ces pays constitue déjà une menace (Président de la Fédération de Russie, 2015). </w:t>
      </w:r>
      <w:r w:rsidR="00F515EB" w:rsidRPr="00963572">
        <w:rPr>
          <w:rFonts w:ascii="Arial" w:hAnsi="Arial" w:cs="Arial"/>
          <w:lang w:val="fr-FR"/>
        </w:rPr>
        <w:t xml:space="preserve">Dès lors, </w:t>
      </w:r>
      <w:r w:rsidRPr="00963572">
        <w:rPr>
          <w:rFonts w:ascii="Arial" w:hAnsi="Arial" w:cs="Arial"/>
          <w:lang w:val="fr-FR"/>
        </w:rPr>
        <w:t xml:space="preserve">une politique nucléaire plus volontariste de l’OTAN </w:t>
      </w:r>
      <w:r w:rsidR="00FA6FF0" w:rsidRPr="00963572">
        <w:rPr>
          <w:rFonts w:ascii="Arial" w:hAnsi="Arial" w:cs="Arial"/>
          <w:lang w:val="fr-FR"/>
        </w:rPr>
        <w:t>pourrait</w:t>
      </w:r>
      <w:r w:rsidR="00F515EB" w:rsidRPr="00963572">
        <w:rPr>
          <w:rFonts w:ascii="Arial" w:hAnsi="Arial" w:cs="Arial"/>
          <w:lang w:val="fr-FR"/>
        </w:rPr>
        <w:t xml:space="preserve"> compliquer, pour ne pas dire empêcher</w:t>
      </w:r>
      <w:r w:rsidRPr="00963572">
        <w:rPr>
          <w:rFonts w:ascii="Arial" w:hAnsi="Arial" w:cs="Arial"/>
          <w:lang w:val="fr-FR"/>
        </w:rPr>
        <w:t>, le rétablissement d’un dialogue avec la Russie (</w:t>
      </w:r>
      <w:proofErr w:type="spellStart"/>
      <w:r w:rsidRPr="00963572">
        <w:rPr>
          <w:rFonts w:ascii="Arial" w:hAnsi="Arial" w:cs="Arial"/>
          <w:lang w:val="fr-FR"/>
        </w:rPr>
        <w:t>Kubiak</w:t>
      </w:r>
      <w:proofErr w:type="spellEnd"/>
      <w:r w:rsidRPr="00963572">
        <w:rPr>
          <w:rFonts w:ascii="Arial" w:hAnsi="Arial" w:cs="Arial"/>
          <w:lang w:val="fr-FR"/>
        </w:rPr>
        <w:t xml:space="preserve"> et Meier, 2016).</w:t>
      </w:r>
    </w:p>
    <w:p w14:paraId="40AEBA89" w14:textId="77777777" w:rsidR="004D1DEB" w:rsidRPr="00A5239A" w:rsidRDefault="004D1DEB" w:rsidP="00A5239A"/>
    <w:p w14:paraId="4885DD71" w14:textId="4E086C7F" w:rsidR="00D97021" w:rsidRPr="00322FF5" w:rsidRDefault="00D55FEA" w:rsidP="00A5239A">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De son côté, le Kremlin a décidé, en matière nucl</w:t>
      </w:r>
      <w:r w:rsidR="004D1DEB" w:rsidRPr="00963572">
        <w:rPr>
          <w:rFonts w:ascii="Arial" w:hAnsi="Arial" w:cs="Arial"/>
          <w:lang w:val="fr-FR"/>
        </w:rPr>
        <w:t xml:space="preserve">éaire, de montrer sa force. Le président Vladimir </w:t>
      </w:r>
      <w:r w:rsidRPr="00963572">
        <w:rPr>
          <w:rFonts w:ascii="Arial" w:hAnsi="Arial" w:cs="Arial"/>
          <w:lang w:val="fr-FR"/>
        </w:rPr>
        <w:t>Poutine a reconnu que les forces nucléaires russes avaient été mises en alerte lors de l’annexion de la Crimée (</w:t>
      </w:r>
      <w:proofErr w:type="spellStart"/>
      <w:r w:rsidRPr="00963572">
        <w:rPr>
          <w:rFonts w:ascii="Arial" w:hAnsi="Arial" w:cs="Arial"/>
          <w:lang w:val="fr-FR"/>
        </w:rPr>
        <w:t>Withnall</w:t>
      </w:r>
      <w:proofErr w:type="spellEnd"/>
      <w:r w:rsidRPr="00963572">
        <w:rPr>
          <w:rFonts w:ascii="Arial" w:hAnsi="Arial" w:cs="Arial"/>
          <w:lang w:val="fr-FR"/>
        </w:rPr>
        <w:t xml:space="preserve">, 2015). Dans le même temps, les forces stratégiques nucléaires (fusées) de la Russie ont multiplié les exercices, </w:t>
      </w:r>
      <w:r w:rsidR="00F515EB" w:rsidRPr="00963572">
        <w:rPr>
          <w:rFonts w:ascii="Arial" w:hAnsi="Arial" w:cs="Arial"/>
          <w:lang w:val="fr-FR"/>
        </w:rPr>
        <w:t>tandis que</w:t>
      </w:r>
      <w:r w:rsidRPr="00963572">
        <w:rPr>
          <w:rFonts w:ascii="Arial" w:hAnsi="Arial" w:cs="Arial"/>
          <w:lang w:val="fr-FR"/>
        </w:rPr>
        <w:t xml:space="preserve"> des bombardiers </w:t>
      </w:r>
      <w:r w:rsidR="00963572">
        <w:rPr>
          <w:rFonts w:ascii="Arial" w:hAnsi="Arial" w:cs="Arial"/>
          <w:lang w:val="fr-FR"/>
        </w:rPr>
        <w:t>sont venus</w:t>
      </w:r>
      <w:r w:rsidRPr="00963572">
        <w:rPr>
          <w:rFonts w:ascii="Arial" w:hAnsi="Arial" w:cs="Arial"/>
          <w:lang w:val="fr-FR"/>
        </w:rPr>
        <w:t xml:space="preserve"> tester les défenses aériennes des membres de l’OTAN (Pifer, 2015). Les décisions sur la posture nucléaire de l’OTAN seront influencées par la taille et la structure des forces nucléaires stratégiques russes, qui sont en train de se renforcer. </w:t>
      </w:r>
    </w:p>
    <w:p w14:paraId="528D1B54" w14:textId="7FBBF344" w:rsidR="00D97021" w:rsidRPr="00963572" w:rsidRDefault="00D97021" w:rsidP="00825AB9">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 xml:space="preserve">À bien des égards, les </w:t>
      </w:r>
      <w:r w:rsidR="00C9644F" w:rsidRPr="00963572">
        <w:rPr>
          <w:rFonts w:ascii="Arial" w:hAnsi="Arial" w:cs="Arial"/>
          <w:lang w:val="fr-FR"/>
        </w:rPr>
        <w:t xml:space="preserve">prises de position </w:t>
      </w:r>
      <w:r w:rsidRPr="00963572">
        <w:rPr>
          <w:rFonts w:ascii="Arial" w:hAnsi="Arial" w:cs="Arial"/>
          <w:lang w:val="fr-FR"/>
        </w:rPr>
        <w:t xml:space="preserve">du sommet de Varsovie sur le rôle </w:t>
      </w:r>
      <w:r w:rsidR="00C9644F" w:rsidRPr="00963572">
        <w:rPr>
          <w:rFonts w:ascii="Arial" w:hAnsi="Arial" w:cs="Arial"/>
          <w:lang w:val="fr-FR"/>
        </w:rPr>
        <w:t>des</w:t>
      </w:r>
      <w:r w:rsidRPr="00963572">
        <w:rPr>
          <w:rFonts w:ascii="Arial" w:hAnsi="Arial" w:cs="Arial"/>
          <w:lang w:val="fr-FR"/>
        </w:rPr>
        <w:t xml:space="preserve"> armes nucléaires dans la politique de sécurité de l’OTAN restent très largement dans la ligne du concept stratégique de 2010 et de la revue </w:t>
      </w:r>
      <w:r w:rsidR="00BB320B" w:rsidRPr="00963572">
        <w:rPr>
          <w:rFonts w:ascii="Arial" w:hAnsi="Arial" w:cs="Arial"/>
          <w:lang w:val="fr-FR"/>
        </w:rPr>
        <w:t>de la posture</w:t>
      </w:r>
      <w:r w:rsidRPr="00963572">
        <w:rPr>
          <w:rFonts w:ascii="Arial" w:hAnsi="Arial" w:cs="Arial"/>
          <w:lang w:val="fr-FR"/>
        </w:rPr>
        <w:t xml:space="preserve"> de dissuasion et de défense </w:t>
      </w:r>
      <w:r w:rsidR="00BB320B" w:rsidRPr="00963572">
        <w:rPr>
          <w:rFonts w:ascii="Arial" w:hAnsi="Arial" w:cs="Arial"/>
          <w:lang w:val="fr-FR"/>
        </w:rPr>
        <w:t>(DDPR) de 2012. Le texte du communiqué diffusé à la fi</w:t>
      </w:r>
      <w:r w:rsidR="00871B77" w:rsidRPr="00963572">
        <w:rPr>
          <w:rFonts w:ascii="Arial" w:hAnsi="Arial" w:cs="Arial"/>
          <w:lang w:val="fr-FR"/>
        </w:rPr>
        <w:t xml:space="preserve">n du sommet </w:t>
      </w:r>
      <w:r w:rsidR="00C9644F" w:rsidRPr="00963572">
        <w:rPr>
          <w:rFonts w:ascii="Arial" w:hAnsi="Arial" w:cs="Arial"/>
          <w:lang w:val="fr-FR"/>
        </w:rPr>
        <w:t>livre</w:t>
      </w:r>
      <w:r w:rsidR="00871B77" w:rsidRPr="00963572">
        <w:rPr>
          <w:rFonts w:ascii="Arial" w:hAnsi="Arial" w:cs="Arial"/>
          <w:lang w:val="fr-FR"/>
        </w:rPr>
        <w:t xml:space="preserve"> </w:t>
      </w:r>
      <w:r w:rsidR="00C9644F" w:rsidRPr="00963572">
        <w:rPr>
          <w:rFonts w:ascii="Arial" w:hAnsi="Arial" w:cs="Arial"/>
          <w:lang w:val="fr-FR"/>
        </w:rPr>
        <w:t>néanmoins</w:t>
      </w:r>
      <w:r w:rsidR="00871B77" w:rsidRPr="00963572">
        <w:rPr>
          <w:rFonts w:ascii="Arial" w:hAnsi="Arial" w:cs="Arial"/>
          <w:lang w:val="fr-FR"/>
        </w:rPr>
        <w:t xml:space="preserve"> </w:t>
      </w:r>
      <w:r w:rsidR="00BB320B" w:rsidRPr="00963572">
        <w:rPr>
          <w:rFonts w:ascii="Arial" w:hAnsi="Arial" w:cs="Arial"/>
          <w:lang w:val="fr-FR"/>
        </w:rPr>
        <w:t xml:space="preserve">quelques éléments intéressants sur le rôle futur, l’implantation et l’utilisation potentielle des armes nucléaires. </w:t>
      </w:r>
      <w:r w:rsidR="00F515EB" w:rsidRPr="00963572">
        <w:rPr>
          <w:rFonts w:ascii="Arial" w:hAnsi="Arial" w:cs="Arial"/>
          <w:lang w:val="fr-FR"/>
        </w:rPr>
        <w:t>Ainsi</w:t>
      </w:r>
      <w:r w:rsidR="00BB320B" w:rsidRPr="00963572">
        <w:rPr>
          <w:rFonts w:ascii="Arial" w:hAnsi="Arial" w:cs="Arial"/>
          <w:lang w:val="fr-FR"/>
        </w:rPr>
        <w:t>, les partic</w:t>
      </w:r>
      <w:r w:rsidR="001E5605" w:rsidRPr="00963572">
        <w:rPr>
          <w:rFonts w:ascii="Arial" w:hAnsi="Arial" w:cs="Arial"/>
          <w:lang w:val="fr-FR"/>
        </w:rPr>
        <w:t>ipants au so</w:t>
      </w:r>
      <w:r w:rsidR="00420F65" w:rsidRPr="00963572">
        <w:rPr>
          <w:rFonts w:ascii="Arial" w:hAnsi="Arial" w:cs="Arial"/>
          <w:lang w:val="fr-FR"/>
        </w:rPr>
        <w:t>mmet de Varsovie, en rappelant que la posture de dissuasion nucléaire de l'OTAN repose en partie sur les armes nucléaires des États</w:t>
      </w:r>
      <w:r w:rsidR="00420F65" w:rsidRPr="00963572">
        <w:rPr>
          <w:rFonts w:ascii="Arial" w:hAnsi="Arial" w:cs="Arial"/>
          <w:lang w:val="fr-FR"/>
        </w:rPr>
        <w:noBreakHyphen/>
        <w:t>Unis dép</w:t>
      </w:r>
      <w:r w:rsidR="00A5239A" w:rsidRPr="00963572">
        <w:rPr>
          <w:rFonts w:ascii="Arial" w:hAnsi="Arial" w:cs="Arial"/>
          <w:lang w:val="fr-FR"/>
        </w:rPr>
        <w:t>loyées à l'avant en Europe,</w:t>
      </w:r>
      <w:r w:rsidR="00A75877" w:rsidRPr="00963572">
        <w:rPr>
          <w:rFonts w:ascii="Arial" w:hAnsi="Arial" w:cs="Arial"/>
          <w:lang w:val="fr-FR"/>
        </w:rPr>
        <w:t xml:space="preserve"> </w:t>
      </w:r>
      <w:r w:rsidR="004F3B9A" w:rsidRPr="00963572">
        <w:rPr>
          <w:rFonts w:ascii="Arial" w:hAnsi="Arial" w:cs="Arial"/>
          <w:lang w:val="fr-FR"/>
        </w:rPr>
        <w:t>invitent à</w:t>
      </w:r>
      <w:r w:rsidR="00A75877" w:rsidRPr="00963572">
        <w:rPr>
          <w:rFonts w:ascii="Arial" w:hAnsi="Arial" w:cs="Arial"/>
          <w:lang w:val="fr-FR"/>
        </w:rPr>
        <w:t xml:space="preserve"> revenir </w:t>
      </w:r>
      <w:r w:rsidR="00420F65" w:rsidRPr="00963572">
        <w:rPr>
          <w:rFonts w:ascii="Arial" w:hAnsi="Arial" w:cs="Arial"/>
          <w:lang w:val="fr-FR"/>
        </w:rPr>
        <w:t xml:space="preserve">sur la question du déploiement avancé d’armes nucléaires </w:t>
      </w:r>
      <w:r w:rsidR="00A75877" w:rsidRPr="00963572">
        <w:rPr>
          <w:rFonts w:ascii="Arial" w:hAnsi="Arial" w:cs="Arial"/>
          <w:lang w:val="fr-FR"/>
        </w:rPr>
        <w:t>sur le Vieux Continent</w:t>
      </w:r>
      <w:r w:rsidR="00C9644F" w:rsidRPr="00963572">
        <w:rPr>
          <w:rFonts w:ascii="Arial" w:hAnsi="Arial" w:cs="Arial"/>
          <w:lang w:val="fr-FR"/>
        </w:rPr>
        <w:t>.</w:t>
      </w:r>
      <w:r w:rsidR="00BB320B" w:rsidRPr="00963572">
        <w:rPr>
          <w:rFonts w:ascii="Arial" w:hAnsi="Arial" w:cs="Arial"/>
          <w:lang w:val="fr-FR"/>
        </w:rPr>
        <w:t xml:space="preserve"> Deuxièmement, il est question, dans les </w:t>
      </w:r>
      <w:r w:rsidR="00A75877" w:rsidRPr="00963572">
        <w:rPr>
          <w:rFonts w:ascii="Arial" w:hAnsi="Arial" w:cs="Arial"/>
          <w:lang w:val="fr-FR"/>
        </w:rPr>
        <w:t>documents de Varsovie</w:t>
      </w:r>
      <w:r w:rsidR="00BB320B" w:rsidRPr="00963572">
        <w:rPr>
          <w:rFonts w:ascii="Arial" w:hAnsi="Arial" w:cs="Arial"/>
          <w:lang w:val="fr-FR"/>
        </w:rPr>
        <w:t xml:space="preserve">, d’élargir la participation des Alliés concernés aux arrangements pour le partage du fardeau dans le domaine nucléaire. Troisièmement, </w:t>
      </w:r>
      <w:r w:rsidR="001E5605" w:rsidRPr="00963572">
        <w:rPr>
          <w:rFonts w:ascii="Arial" w:hAnsi="Arial" w:cs="Arial"/>
          <w:lang w:val="fr-FR"/>
        </w:rPr>
        <w:t>le</w:t>
      </w:r>
      <w:r w:rsidR="00A75877" w:rsidRPr="00963572">
        <w:rPr>
          <w:rFonts w:ascii="Arial" w:hAnsi="Arial" w:cs="Arial"/>
          <w:lang w:val="fr-FR"/>
        </w:rPr>
        <w:t>s</w:t>
      </w:r>
      <w:r w:rsidR="001E5605" w:rsidRPr="00963572">
        <w:rPr>
          <w:rFonts w:ascii="Arial" w:hAnsi="Arial" w:cs="Arial"/>
          <w:lang w:val="fr-FR"/>
        </w:rPr>
        <w:t xml:space="preserve"> </w:t>
      </w:r>
      <w:r w:rsidR="00A75877" w:rsidRPr="00963572">
        <w:rPr>
          <w:rFonts w:ascii="Arial" w:hAnsi="Arial" w:cs="Arial"/>
          <w:lang w:val="fr-FR"/>
        </w:rPr>
        <w:t>documents laissent percer un certain pessimism</w:t>
      </w:r>
      <w:r w:rsidR="001E5605" w:rsidRPr="00963572">
        <w:rPr>
          <w:rFonts w:ascii="Arial" w:hAnsi="Arial" w:cs="Arial"/>
          <w:lang w:val="fr-FR"/>
        </w:rPr>
        <w:t xml:space="preserve">e – et c’est là un fait nouveau – </w:t>
      </w:r>
      <w:r w:rsidR="00A75877" w:rsidRPr="00963572">
        <w:rPr>
          <w:rFonts w:ascii="Arial" w:hAnsi="Arial" w:cs="Arial"/>
          <w:lang w:val="fr-FR"/>
        </w:rPr>
        <w:t xml:space="preserve">quant à l’adoption de mesures </w:t>
      </w:r>
      <w:r w:rsidR="00EF1618" w:rsidRPr="00963572">
        <w:rPr>
          <w:rFonts w:ascii="Arial" w:hAnsi="Arial" w:cs="Arial"/>
          <w:lang w:val="fr-FR"/>
        </w:rPr>
        <w:t xml:space="preserve">de maîtrise des armements qui </w:t>
      </w:r>
      <w:r w:rsidR="000612B3" w:rsidRPr="00963572">
        <w:rPr>
          <w:rFonts w:ascii="Arial" w:hAnsi="Arial" w:cs="Arial"/>
          <w:lang w:val="fr-FR"/>
        </w:rPr>
        <w:t>permettraient</w:t>
      </w:r>
      <w:r w:rsidR="00EF1618" w:rsidRPr="00963572">
        <w:rPr>
          <w:rFonts w:ascii="Arial" w:hAnsi="Arial" w:cs="Arial"/>
          <w:lang w:val="fr-FR"/>
        </w:rPr>
        <w:t xml:space="preserve">, à terme, </w:t>
      </w:r>
      <w:r w:rsidR="000612B3" w:rsidRPr="00963572">
        <w:rPr>
          <w:rFonts w:ascii="Arial" w:hAnsi="Arial" w:cs="Arial"/>
          <w:lang w:val="fr-FR"/>
        </w:rPr>
        <w:t>de réduire les s</w:t>
      </w:r>
      <w:r w:rsidR="00EF1618" w:rsidRPr="00963572">
        <w:rPr>
          <w:rFonts w:ascii="Arial" w:hAnsi="Arial" w:cs="Arial"/>
          <w:lang w:val="fr-FR"/>
        </w:rPr>
        <w:t xml:space="preserve">tocks « sur </w:t>
      </w:r>
      <w:r w:rsidR="000612B3" w:rsidRPr="00963572">
        <w:rPr>
          <w:rFonts w:ascii="Arial" w:hAnsi="Arial" w:cs="Arial"/>
          <w:lang w:val="fr-FR"/>
        </w:rPr>
        <w:t>la base d’une réciprocité » entre les Alliés et la Russie (</w:t>
      </w:r>
      <w:r w:rsidR="00EF1618" w:rsidRPr="00963572">
        <w:rPr>
          <w:rFonts w:ascii="Arial" w:hAnsi="Arial" w:cs="Arial"/>
          <w:lang w:val="fr-FR"/>
        </w:rPr>
        <w:t>« Nous regrettons que les conditions actuelles ne soient pas favorables à la concrétisation du désarmement »</w:t>
      </w:r>
      <w:r w:rsidR="000612B3" w:rsidRPr="00963572">
        <w:rPr>
          <w:rFonts w:ascii="Arial" w:hAnsi="Arial" w:cs="Arial"/>
          <w:lang w:val="fr-FR"/>
        </w:rPr>
        <w:t>).</w:t>
      </w:r>
    </w:p>
    <w:p w14:paraId="7A34ED71" w14:textId="77777777" w:rsidR="00C02C3A" w:rsidRPr="00873F20" w:rsidRDefault="00C02C3A" w:rsidP="00C02C3A">
      <w:pPr>
        <w:outlineLvl w:val="0"/>
        <w:rPr>
          <w:b/>
        </w:rPr>
      </w:pPr>
    </w:p>
    <w:p w14:paraId="5B860C4C" w14:textId="77777777" w:rsidR="0059094C" w:rsidRPr="00873F20" w:rsidRDefault="0059094C" w:rsidP="00C02C3A">
      <w:pPr>
        <w:outlineLvl w:val="0"/>
        <w:rPr>
          <w:b/>
        </w:rPr>
      </w:pPr>
    </w:p>
    <w:p w14:paraId="4092B060" w14:textId="1D5AC4CF" w:rsidR="00D55FEA" w:rsidRPr="00873F20" w:rsidRDefault="000612B3" w:rsidP="00963572">
      <w:pPr>
        <w:pStyle w:val="Heading1"/>
        <w:numPr>
          <w:ilvl w:val="0"/>
          <w:numId w:val="0"/>
        </w:numPr>
        <w:tabs>
          <w:tab w:val="left" w:pos="567"/>
        </w:tabs>
      </w:pPr>
      <w:bookmarkStart w:id="20" w:name="_Toc464810727"/>
      <w:r w:rsidRPr="00873F20">
        <w:t>V.</w:t>
      </w:r>
      <w:r w:rsidRPr="00873F20">
        <w:tab/>
      </w:r>
      <w:r w:rsidR="00D55FEA" w:rsidRPr="00873F20">
        <w:t>Perceptions et r</w:t>
      </w:r>
      <w:r w:rsidR="00D859A6" w:rsidRPr="00873F20">
        <w:t>É</w:t>
      </w:r>
      <w:r w:rsidR="00D55FEA" w:rsidRPr="00873F20">
        <w:t>ponse de la Russie</w:t>
      </w:r>
      <w:bookmarkEnd w:id="20"/>
    </w:p>
    <w:p w14:paraId="25B8F6E8" w14:textId="77777777" w:rsidR="000612B3" w:rsidRPr="00873F20" w:rsidRDefault="000612B3" w:rsidP="000612B3"/>
    <w:p w14:paraId="43E4F7A0" w14:textId="36B0EB4A" w:rsidR="000612B3" w:rsidRPr="00873F20" w:rsidRDefault="000612B3" w:rsidP="00963572">
      <w:pPr>
        <w:tabs>
          <w:tab w:val="left" w:pos="1134"/>
        </w:tabs>
        <w:rPr>
          <w:b/>
        </w:rPr>
      </w:pPr>
      <w:r w:rsidRPr="00873F20">
        <w:tab/>
      </w:r>
      <w:r w:rsidRPr="00873F20">
        <w:rPr>
          <w:b/>
        </w:rPr>
        <w:t>A.</w:t>
      </w:r>
      <w:r w:rsidRPr="00873F20">
        <w:rPr>
          <w:b/>
        </w:rPr>
        <w:tab/>
        <w:t xml:space="preserve">ÉVOLUTION DES PERCEPTIONS, DE LA LÉGISLATION ET DE LA DOCTRINE </w:t>
      </w:r>
      <w:r w:rsidRPr="00873F20">
        <w:rPr>
          <w:b/>
        </w:rPr>
        <w:tab/>
      </w:r>
      <w:r w:rsidRPr="00873F20">
        <w:rPr>
          <w:b/>
        </w:rPr>
        <w:tab/>
      </w:r>
      <w:r w:rsidRPr="00873F20">
        <w:rPr>
          <w:b/>
        </w:rPr>
        <w:tab/>
        <w:t>MILITAIRE</w:t>
      </w:r>
    </w:p>
    <w:p w14:paraId="56853AE0" w14:textId="77777777" w:rsidR="00C02C3A" w:rsidRPr="00873F20" w:rsidRDefault="00C02C3A" w:rsidP="00C02C3A"/>
    <w:p w14:paraId="503081B6" w14:textId="6047285F" w:rsidR="00D55FEA" w:rsidRPr="00E43218" w:rsidRDefault="00D55FEA" w:rsidP="00963572">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L’adaptation opérée récemment par l’OTAN est perçue comme dangereuse par la Russie</w:t>
      </w:r>
      <w:r w:rsidR="001E5605" w:rsidRPr="00963572">
        <w:rPr>
          <w:rFonts w:ascii="Arial" w:hAnsi="Arial" w:cs="Arial"/>
          <w:lang w:val="fr-FR"/>
        </w:rPr>
        <w:t>,</w:t>
      </w:r>
      <w:r w:rsidRPr="00963572">
        <w:rPr>
          <w:rFonts w:ascii="Arial" w:hAnsi="Arial" w:cs="Arial"/>
          <w:lang w:val="fr-FR"/>
        </w:rPr>
        <w:t xml:space="preserve"> qui l’assimile </w:t>
      </w:r>
      <w:r w:rsidR="005B4328" w:rsidRPr="00963572">
        <w:rPr>
          <w:rFonts w:ascii="Arial" w:hAnsi="Arial" w:cs="Arial"/>
          <w:lang w:val="fr-FR"/>
        </w:rPr>
        <w:t xml:space="preserve">souvent </w:t>
      </w:r>
      <w:r w:rsidRPr="00963572">
        <w:rPr>
          <w:rFonts w:ascii="Arial" w:hAnsi="Arial" w:cs="Arial"/>
          <w:lang w:val="fr-FR"/>
        </w:rPr>
        <w:t>à une violation du droit internat</w:t>
      </w:r>
      <w:r w:rsidR="00963572">
        <w:rPr>
          <w:rFonts w:ascii="Arial" w:hAnsi="Arial" w:cs="Arial"/>
          <w:lang w:val="fr-FR"/>
        </w:rPr>
        <w:t xml:space="preserve">ional. Cette vision résolument </w:t>
      </w:r>
      <w:r w:rsidRPr="00963572">
        <w:rPr>
          <w:rFonts w:ascii="Arial" w:hAnsi="Arial" w:cs="Arial"/>
          <w:lang w:val="fr-FR"/>
        </w:rPr>
        <w:t>relayée par les milieux politiques et militaires ainsi que par les spéci</w:t>
      </w:r>
      <w:r w:rsidR="00963572" w:rsidRPr="00963572">
        <w:rPr>
          <w:rFonts w:ascii="Arial" w:hAnsi="Arial" w:cs="Arial"/>
          <w:lang w:val="fr-FR"/>
        </w:rPr>
        <w:t>alistes de la question (Sikorski</w:t>
      </w:r>
      <w:r w:rsidRPr="00963572">
        <w:rPr>
          <w:rFonts w:ascii="Arial" w:hAnsi="Arial" w:cs="Arial"/>
          <w:lang w:val="fr-FR"/>
        </w:rPr>
        <w:t>, 2015</w:t>
      </w:r>
      <w:r w:rsidR="00963572">
        <w:rPr>
          <w:rFonts w:ascii="Arial" w:hAnsi="Arial" w:cs="Arial"/>
          <w:lang w:val="fr-FR"/>
        </w:rPr>
        <w:t xml:space="preserve"> ; </w:t>
      </w:r>
      <w:proofErr w:type="spellStart"/>
      <w:r w:rsidR="00963572">
        <w:rPr>
          <w:rFonts w:ascii="Arial" w:hAnsi="Arial" w:cs="Arial"/>
          <w:lang w:val="fr-FR"/>
        </w:rPr>
        <w:t>Polunin</w:t>
      </w:r>
      <w:proofErr w:type="spellEnd"/>
      <w:r w:rsidR="00963572">
        <w:rPr>
          <w:rFonts w:ascii="Arial" w:hAnsi="Arial" w:cs="Arial"/>
          <w:lang w:val="fr-FR"/>
        </w:rPr>
        <w:t>, </w:t>
      </w:r>
      <w:r w:rsidRPr="00963572">
        <w:rPr>
          <w:rFonts w:ascii="Arial" w:hAnsi="Arial" w:cs="Arial"/>
          <w:lang w:val="fr-FR"/>
        </w:rPr>
        <w:t xml:space="preserve">2016), est également celle exposée dans la Stratégie </w:t>
      </w:r>
      <w:r w:rsidR="004D1DEB" w:rsidRPr="00963572">
        <w:rPr>
          <w:rFonts w:ascii="Arial" w:hAnsi="Arial" w:cs="Arial"/>
          <w:lang w:val="fr-FR"/>
        </w:rPr>
        <w:t xml:space="preserve">de sécurité </w:t>
      </w:r>
      <w:r w:rsidRPr="00963572">
        <w:rPr>
          <w:rFonts w:ascii="Arial" w:hAnsi="Arial" w:cs="Arial"/>
          <w:lang w:val="fr-FR"/>
        </w:rPr>
        <w:t xml:space="preserve">nationale russe </w:t>
      </w:r>
      <w:r w:rsidR="004D1DEB" w:rsidRPr="00963572">
        <w:rPr>
          <w:rFonts w:ascii="Arial" w:hAnsi="Arial" w:cs="Arial"/>
          <w:lang w:val="fr-FR"/>
        </w:rPr>
        <w:t>de</w:t>
      </w:r>
      <w:r w:rsidRPr="00963572">
        <w:rPr>
          <w:rFonts w:ascii="Arial" w:hAnsi="Arial" w:cs="Arial"/>
          <w:lang w:val="fr-FR"/>
        </w:rPr>
        <w:t xml:space="preserve"> 2015 (</w:t>
      </w:r>
      <w:r w:rsidR="00963572">
        <w:rPr>
          <w:rFonts w:ascii="Arial" w:hAnsi="Arial" w:cs="Arial"/>
          <w:lang w:val="fr-FR"/>
        </w:rPr>
        <w:t xml:space="preserve">The </w:t>
      </w:r>
      <w:r w:rsidRPr="00963572">
        <w:rPr>
          <w:rFonts w:ascii="Arial" w:hAnsi="Arial" w:cs="Arial"/>
          <w:lang w:val="fr-FR"/>
        </w:rPr>
        <w:t xml:space="preserve">Kremlin, 2015). </w:t>
      </w:r>
      <w:r w:rsidRPr="00E43218">
        <w:rPr>
          <w:rFonts w:ascii="Arial" w:hAnsi="Arial" w:cs="Arial"/>
          <w:lang w:val="fr-FR"/>
        </w:rPr>
        <w:t>Prenant appui sur cette vision de la menace, Moscou prône une « réponse complexe » (</w:t>
      </w:r>
      <w:proofErr w:type="spellStart"/>
      <w:r w:rsidR="00C24904" w:rsidRPr="00C24904">
        <w:rPr>
          <w:rFonts w:ascii="Arial" w:hAnsi="Arial" w:cs="Arial"/>
          <w:i/>
          <w:lang w:val="fr-FR"/>
        </w:rPr>
        <w:t>Russian</w:t>
      </w:r>
      <w:proofErr w:type="spellEnd"/>
      <w:r w:rsidR="00C24904" w:rsidRPr="00C24904">
        <w:rPr>
          <w:rFonts w:ascii="Arial" w:hAnsi="Arial" w:cs="Arial"/>
          <w:i/>
          <w:lang w:val="fr-FR"/>
        </w:rPr>
        <w:t xml:space="preserve"> Institute of Strategic </w:t>
      </w:r>
      <w:proofErr w:type="spellStart"/>
      <w:r w:rsidR="00C24904" w:rsidRPr="00C24904">
        <w:rPr>
          <w:rFonts w:ascii="Arial" w:hAnsi="Arial" w:cs="Arial"/>
          <w:i/>
          <w:lang w:val="fr-FR"/>
        </w:rPr>
        <w:t>Studies</w:t>
      </w:r>
      <w:proofErr w:type="spellEnd"/>
      <w:r w:rsidRPr="00E43218">
        <w:rPr>
          <w:rFonts w:ascii="Arial" w:hAnsi="Arial" w:cs="Arial"/>
          <w:lang w:val="fr-FR"/>
        </w:rPr>
        <w:t xml:space="preserve">, 2015). </w:t>
      </w:r>
      <w:r w:rsidRPr="00963572">
        <w:rPr>
          <w:rFonts w:ascii="Arial" w:hAnsi="Arial" w:cs="Arial"/>
          <w:lang w:val="fr-FR"/>
        </w:rPr>
        <w:t xml:space="preserve">Le rôle croissant de la puissance militaire dans la </w:t>
      </w:r>
      <w:r w:rsidR="00963572" w:rsidRPr="00963572">
        <w:rPr>
          <w:rFonts w:ascii="Arial" w:hAnsi="Arial" w:cs="Arial"/>
          <w:lang w:val="fr-FR"/>
        </w:rPr>
        <w:t xml:space="preserve">réflexion en matière </w:t>
      </w:r>
      <w:r w:rsidR="00F96463">
        <w:rPr>
          <w:rFonts w:ascii="Arial" w:hAnsi="Arial" w:cs="Arial"/>
          <w:lang w:val="fr-FR"/>
        </w:rPr>
        <w:t xml:space="preserve">de </w:t>
      </w:r>
      <w:r w:rsidRPr="00963572">
        <w:rPr>
          <w:rFonts w:ascii="Arial" w:hAnsi="Arial" w:cs="Arial"/>
          <w:lang w:val="fr-FR"/>
        </w:rPr>
        <w:t>politique étr</w:t>
      </w:r>
      <w:r w:rsidR="00963572">
        <w:rPr>
          <w:rFonts w:ascii="Arial" w:hAnsi="Arial" w:cs="Arial"/>
          <w:lang w:val="fr-FR"/>
        </w:rPr>
        <w:t>angère</w:t>
      </w:r>
      <w:r w:rsidRPr="00963572">
        <w:rPr>
          <w:rFonts w:ascii="Arial" w:hAnsi="Arial" w:cs="Arial"/>
          <w:lang w:val="fr-FR"/>
        </w:rPr>
        <w:t xml:space="preserve"> a été consacré par des changements législatifs. </w:t>
      </w:r>
      <w:r w:rsidRPr="00E43218">
        <w:rPr>
          <w:rFonts w:ascii="Arial" w:hAnsi="Arial" w:cs="Arial"/>
          <w:lang w:val="fr-FR"/>
        </w:rPr>
        <w:t>On pense notamment à l’amendement, en 2009, de la Loi sur la défense</w:t>
      </w:r>
      <w:r w:rsidR="001E5605" w:rsidRPr="00E43218">
        <w:rPr>
          <w:rFonts w:ascii="Arial" w:hAnsi="Arial" w:cs="Arial"/>
          <w:lang w:val="fr-FR"/>
        </w:rPr>
        <w:t>,</w:t>
      </w:r>
      <w:r w:rsidRPr="00E43218">
        <w:rPr>
          <w:rFonts w:ascii="Arial" w:hAnsi="Arial" w:cs="Arial"/>
          <w:lang w:val="fr-FR"/>
        </w:rPr>
        <w:t xml:space="preserve"> qui élargit les motifs légaux justifiant l’envoi de forces armées à l’étranger en ajoutant, à la lutte contre le terrorisme et au maintien de la paix, la réponse à des attaques à l’encontre de ressortissants russes à l’étranger et l’aide </w:t>
      </w:r>
      <w:r w:rsidR="00477FC4" w:rsidRPr="00E43218">
        <w:rPr>
          <w:rFonts w:ascii="Arial" w:hAnsi="Arial" w:cs="Arial"/>
          <w:lang w:val="fr-FR"/>
        </w:rPr>
        <w:t xml:space="preserve">destinée à repousser ou à prévenir une attaque que la Russie pourrait apporter en </w:t>
      </w:r>
      <w:r w:rsidR="001E5605" w:rsidRPr="00E43218">
        <w:rPr>
          <w:rFonts w:ascii="Arial" w:hAnsi="Arial" w:cs="Arial"/>
          <w:lang w:val="fr-FR"/>
        </w:rPr>
        <w:t xml:space="preserve">réponse à la demande d’un </w:t>
      </w:r>
      <w:r w:rsidR="00477FC4" w:rsidRPr="00E43218">
        <w:rPr>
          <w:rFonts w:ascii="Arial" w:hAnsi="Arial" w:cs="Arial"/>
          <w:lang w:val="fr-FR"/>
        </w:rPr>
        <w:t>É</w:t>
      </w:r>
      <w:r w:rsidR="001E5605" w:rsidRPr="00E43218">
        <w:rPr>
          <w:rFonts w:ascii="Arial" w:hAnsi="Arial" w:cs="Arial"/>
          <w:lang w:val="fr-FR"/>
        </w:rPr>
        <w:t>tat</w:t>
      </w:r>
      <w:r w:rsidRPr="00E43218">
        <w:rPr>
          <w:rFonts w:ascii="Arial" w:hAnsi="Arial" w:cs="Arial"/>
          <w:lang w:val="fr-FR"/>
        </w:rPr>
        <w:t>.</w:t>
      </w:r>
    </w:p>
    <w:p w14:paraId="6FECF0E4" w14:textId="77777777" w:rsidR="00C02C3A" w:rsidRPr="00963572" w:rsidRDefault="00C02C3A" w:rsidP="00963572"/>
    <w:p w14:paraId="6FE2497F" w14:textId="15010A17" w:rsidR="00D55FEA" w:rsidRPr="00E43218" w:rsidRDefault="00D55FEA" w:rsidP="00963572">
      <w:pPr>
        <w:pStyle w:val="ListParagraph"/>
        <w:numPr>
          <w:ilvl w:val="0"/>
          <w:numId w:val="25"/>
        </w:numPr>
        <w:tabs>
          <w:tab w:val="left" w:pos="567"/>
        </w:tabs>
        <w:ind w:left="0" w:firstLine="0"/>
        <w:jc w:val="both"/>
        <w:rPr>
          <w:rFonts w:ascii="Arial" w:hAnsi="Arial" w:cs="Arial"/>
          <w:lang w:val="fr-FR"/>
        </w:rPr>
      </w:pPr>
      <w:r w:rsidRPr="00963572">
        <w:rPr>
          <w:rFonts w:ascii="Arial" w:hAnsi="Arial" w:cs="Arial"/>
          <w:lang w:val="fr-FR"/>
        </w:rPr>
        <w:t>Dans ses publications et ses prises de position en matière de défense stratégique, Moscou indique que les guerres conventionnelles et hybrides du présent et du futur exigent des forces correctement entraînées et rapidement déployables</w:t>
      </w:r>
      <w:r w:rsidR="00963572" w:rsidRPr="00963572">
        <w:rPr>
          <w:rFonts w:ascii="Arial" w:hAnsi="Arial" w:cs="Arial"/>
          <w:lang w:val="fr-FR"/>
        </w:rPr>
        <w:t>,</w:t>
      </w:r>
      <w:r w:rsidRPr="00963572">
        <w:rPr>
          <w:rFonts w:ascii="Arial" w:hAnsi="Arial" w:cs="Arial"/>
          <w:lang w:val="fr-FR"/>
        </w:rPr>
        <w:t xml:space="preserve"> appuyées par une prise de décision rapide et une coordination interinstitutionnelle. </w:t>
      </w:r>
      <w:r w:rsidRPr="00E43218">
        <w:rPr>
          <w:rFonts w:ascii="Arial" w:hAnsi="Arial" w:cs="Arial"/>
          <w:lang w:val="fr-FR"/>
        </w:rPr>
        <w:t>Cette évolution traduit l’abandon de l’ancienne approche, qui privilégiait le nombre, au profit de forces armées équipées de systèmes complexes capables de réagir à un environnement de sécurité plus dynamique. Ainsi, la Crimée fut l’occasion pour la Russie de démontrer son aptitude à déployer rapidement, sur ses frontières et pour plusieurs mois, des forces spéciales, aéroportées et d’infanterie navale</w:t>
      </w:r>
      <w:r w:rsidR="004D1DEB" w:rsidRPr="00E43218">
        <w:rPr>
          <w:rFonts w:ascii="Arial" w:hAnsi="Arial" w:cs="Arial"/>
          <w:lang w:val="fr-FR"/>
        </w:rPr>
        <w:t>,</w:t>
      </w:r>
      <w:r w:rsidRPr="00E43218">
        <w:rPr>
          <w:rFonts w:ascii="Arial" w:hAnsi="Arial" w:cs="Arial"/>
          <w:lang w:val="fr-FR"/>
        </w:rPr>
        <w:t xml:space="preserve"> ainsi qu</w:t>
      </w:r>
      <w:r w:rsidR="004D1DEB" w:rsidRPr="00E43218">
        <w:rPr>
          <w:rFonts w:ascii="Arial" w:hAnsi="Arial" w:cs="Arial"/>
          <w:lang w:val="fr-FR"/>
        </w:rPr>
        <w:t xml:space="preserve">e des soldats en </w:t>
      </w:r>
      <w:r w:rsidRPr="00E43218">
        <w:rPr>
          <w:rFonts w:ascii="Arial" w:hAnsi="Arial" w:cs="Arial"/>
          <w:lang w:val="fr-FR"/>
        </w:rPr>
        <w:t>masse (entre 40 000 et 90 000 h</w:t>
      </w:r>
      <w:r w:rsidR="005B4328" w:rsidRPr="00E43218">
        <w:rPr>
          <w:rFonts w:ascii="Arial" w:hAnsi="Arial" w:cs="Arial"/>
          <w:lang w:val="fr-FR"/>
        </w:rPr>
        <w:t>omme</w:t>
      </w:r>
      <w:r w:rsidR="004D1DEB" w:rsidRPr="00E43218">
        <w:rPr>
          <w:rFonts w:ascii="Arial" w:hAnsi="Arial" w:cs="Arial"/>
          <w:lang w:val="fr-FR"/>
        </w:rPr>
        <w:t>s</w:t>
      </w:r>
      <w:r w:rsidR="00C24904">
        <w:rPr>
          <w:rFonts w:ascii="Arial" w:hAnsi="Arial" w:cs="Arial"/>
          <w:lang w:val="fr-FR"/>
        </w:rPr>
        <w:t xml:space="preserve"> et femmes</w:t>
      </w:r>
      <w:r w:rsidRPr="00E43218">
        <w:rPr>
          <w:rFonts w:ascii="Arial" w:hAnsi="Arial" w:cs="Arial"/>
          <w:lang w:val="fr-FR"/>
        </w:rPr>
        <w:t>), tandis que la Syrie a mis en exergue sa capacité d’envoyer des troupes et de mener des opéra</w:t>
      </w:r>
      <w:r w:rsidR="004D1DEB" w:rsidRPr="00E43218">
        <w:rPr>
          <w:rFonts w:ascii="Arial" w:hAnsi="Arial" w:cs="Arial"/>
          <w:lang w:val="fr-FR"/>
        </w:rPr>
        <w:t>tions interarmées complexes bien</w:t>
      </w:r>
      <w:r w:rsidRPr="00E43218">
        <w:rPr>
          <w:rFonts w:ascii="Arial" w:hAnsi="Arial" w:cs="Arial"/>
          <w:lang w:val="fr-FR"/>
        </w:rPr>
        <w:t xml:space="preserve"> au-delà de ses frontières. </w:t>
      </w:r>
    </w:p>
    <w:p w14:paraId="572A71EA" w14:textId="77777777" w:rsidR="00C02C3A" w:rsidRPr="00873F20" w:rsidRDefault="00C02C3A" w:rsidP="00C02C3A"/>
    <w:p w14:paraId="5B099487" w14:textId="59FB025B" w:rsidR="002C55FD" w:rsidRPr="00873F20" w:rsidRDefault="002C55FD" w:rsidP="00963572">
      <w:pPr>
        <w:tabs>
          <w:tab w:val="left" w:pos="1134"/>
        </w:tabs>
      </w:pPr>
      <w:r w:rsidRPr="00873F20">
        <w:tab/>
      </w:r>
      <w:r w:rsidRPr="00873F20">
        <w:rPr>
          <w:b/>
        </w:rPr>
        <w:t>B.</w:t>
      </w:r>
      <w:r w:rsidRPr="00873F20">
        <w:rPr>
          <w:b/>
        </w:rPr>
        <w:tab/>
        <w:t>MODERNISATION DES FORCES ARMÉES</w:t>
      </w:r>
    </w:p>
    <w:p w14:paraId="44ADC8BE" w14:textId="77777777" w:rsidR="002C55FD" w:rsidRPr="00873F20" w:rsidRDefault="002C55FD" w:rsidP="00C02C3A"/>
    <w:p w14:paraId="126103B0" w14:textId="7F0EE33C" w:rsidR="00D55FEA" w:rsidRPr="00E43218" w:rsidRDefault="00D55FEA" w:rsidP="00963572">
      <w:pPr>
        <w:pStyle w:val="ListParagraph"/>
        <w:numPr>
          <w:ilvl w:val="0"/>
          <w:numId w:val="25"/>
        </w:numPr>
        <w:ind w:left="0" w:firstLine="0"/>
        <w:jc w:val="both"/>
        <w:rPr>
          <w:rFonts w:ascii="Arial" w:hAnsi="Arial" w:cs="Arial"/>
          <w:lang w:val="fr-FR"/>
        </w:rPr>
      </w:pPr>
      <w:r w:rsidRPr="00963572">
        <w:rPr>
          <w:rFonts w:ascii="Arial" w:hAnsi="Arial" w:cs="Arial"/>
          <w:lang w:val="fr-FR"/>
        </w:rPr>
        <w:t xml:space="preserve">Afin de pouvoir maintenir cette nouvelle posture militaire dans la durée, il a fallu moderniser en profondeur toutes les branches des forces armées russes. </w:t>
      </w:r>
      <w:r w:rsidRPr="00E43218">
        <w:rPr>
          <w:rFonts w:ascii="Arial" w:hAnsi="Arial" w:cs="Arial"/>
          <w:lang w:val="fr-FR"/>
        </w:rPr>
        <w:t xml:space="preserve">Le </w:t>
      </w:r>
      <w:r w:rsidR="00A43803" w:rsidRPr="00E43218">
        <w:rPr>
          <w:rFonts w:ascii="Arial" w:hAnsi="Arial" w:cs="Arial"/>
          <w:lang w:val="fr-FR"/>
        </w:rPr>
        <w:t>programme national</w:t>
      </w:r>
      <w:r w:rsidRPr="00E43218">
        <w:rPr>
          <w:rFonts w:ascii="Arial" w:hAnsi="Arial" w:cs="Arial"/>
          <w:lang w:val="fr-FR"/>
        </w:rPr>
        <w:t xml:space="preserve"> d’armement pour </w:t>
      </w:r>
      <w:r w:rsidR="00A43803" w:rsidRPr="00E43218">
        <w:rPr>
          <w:rFonts w:ascii="Arial" w:hAnsi="Arial" w:cs="Arial"/>
          <w:lang w:val="fr-FR"/>
        </w:rPr>
        <w:t xml:space="preserve">la période </w:t>
      </w:r>
      <w:r w:rsidR="002C55FD" w:rsidRPr="00E43218">
        <w:rPr>
          <w:rFonts w:ascii="Arial" w:hAnsi="Arial" w:cs="Arial"/>
          <w:lang w:val="fr-FR"/>
        </w:rPr>
        <w:t>2011-2020 prévoyai</w:t>
      </w:r>
      <w:r w:rsidRPr="00E43218">
        <w:rPr>
          <w:rFonts w:ascii="Arial" w:hAnsi="Arial" w:cs="Arial"/>
          <w:lang w:val="fr-FR"/>
        </w:rPr>
        <w:t xml:space="preserve">t une enveloppe de 700 milliards </w:t>
      </w:r>
      <w:r w:rsidR="00894AE9" w:rsidRPr="00E43218">
        <w:rPr>
          <w:rFonts w:ascii="Arial" w:hAnsi="Arial" w:cs="Arial"/>
          <w:lang w:val="fr-FR"/>
        </w:rPr>
        <w:t>de dollars</w:t>
      </w:r>
      <w:r w:rsidRPr="00E43218">
        <w:rPr>
          <w:rFonts w:ascii="Arial" w:hAnsi="Arial" w:cs="Arial"/>
          <w:lang w:val="fr-FR"/>
        </w:rPr>
        <w:t xml:space="preserve"> </w:t>
      </w:r>
      <w:r w:rsidR="002C55FD" w:rsidRPr="00E43218">
        <w:rPr>
          <w:rFonts w:ascii="Arial" w:hAnsi="Arial" w:cs="Arial"/>
          <w:lang w:val="fr-FR"/>
        </w:rPr>
        <w:t>qui devait</w:t>
      </w:r>
      <w:r w:rsidRPr="00E43218">
        <w:rPr>
          <w:rFonts w:ascii="Arial" w:hAnsi="Arial" w:cs="Arial"/>
          <w:lang w:val="fr-FR"/>
        </w:rPr>
        <w:t xml:space="preserve"> permettre à Moscou de porter la part des armes </w:t>
      </w:r>
      <w:r w:rsidR="00C24904">
        <w:rPr>
          <w:rFonts w:ascii="Arial" w:hAnsi="Arial" w:cs="Arial"/>
          <w:lang w:val="fr-FR"/>
        </w:rPr>
        <w:t>de pointe</w:t>
      </w:r>
      <w:r w:rsidRPr="00E43218">
        <w:rPr>
          <w:rFonts w:ascii="Arial" w:hAnsi="Arial" w:cs="Arial"/>
          <w:lang w:val="fr-FR"/>
        </w:rPr>
        <w:t xml:space="preserve"> dans son arsenal</w:t>
      </w:r>
      <w:r w:rsidR="002C55FD" w:rsidRPr="00E43218">
        <w:rPr>
          <w:rFonts w:ascii="Arial" w:hAnsi="Arial" w:cs="Arial"/>
          <w:lang w:val="fr-FR"/>
        </w:rPr>
        <w:t xml:space="preserve"> à 30 % pour 2015, puis à 70-80 </w:t>
      </w:r>
      <w:r w:rsidRPr="00E43218">
        <w:rPr>
          <w:rFonts w:ascii="Arial" w:hAnsi="Arial" w:cs="Arial"/>
          <w:lang w:val="fr-FR"/>
        </w:rPr>
        <w:t>% pour 2020</w:t>
      </w:r>
      <w:r w:rsidRPr="00963572">
        <w:rPr>
          <w:rFonts w:ascii="Arial" w:hAnsi="Arial" w:cs="Arial"/>
          <w:vertAlign w:val="superscript"/>
        </w:rPr>
        <w:footnoteReference w:id="5"/>
      </w:r>
      <w:r w:rsidR="00A43803" w:rsidRPr="00E43218">
        <w:rPr>
          <w:rFonts w:ascii="Arial" w:hAnsi="Arial" w:cs="Arial"/>
          <w:lang w:val="fr-FR"/>
        </w:rPr>
        <w:t xml:space="preserve">. </w:t>
      </w:r>
      <w:r w:rsidRPr="00E43218">
        <w:rPr>
          <w:rFonts w:ascii="Arial" w:hAnsi="Arial" w:cs="Arial"/>
          <w:lang w:val="fr-FR"/>
        </w:rPr>
        <w:t xml:space="preserve">Or, l’objectif intermédiaire </w:t>
      </w:r>
      <w:r w:rsidR="002C55FD" w:rsidRPr="00E43218">
        <w:rPr>
          <w:rFonts w:ascii="Arial" w:hAnsi="Arial" w:cs="Arial"/>
          <w:lang w:val="fr-FR"/>
        </w:rPr>
        <w:t>était</w:t>
      </w:r>
      <w:r w:rsidRPr="00E43218">
        <w:rPr>
          <w:rFonts w:ascii="Arial" w:hAnsi="Arial" w:cs="Arial"/>
          <w:lang w:val="fr-FR"/>
        </w:rPr>
        <w:t xml:space="preserve"> déjà dépassé </w:t>
      </w:r>
      <w:r w:rsidR="002C55FD" w:rsidRPr="00E43218">
        <w:rPr>
          <w:rFonts w:ascii="Arial" w:hAnsi="Arial" w:cs="Arial"/>
          <w:lang w:val="fr-FR"/>
        </w:rPr>
        <w:t xml:space="preserve">dès 2015 </w:t>
      </w:r>
      <w:r w:rsidRPr="00E43218">
        <w:rPr>
          <w:rFonts w:ascii="Arial" w:hAnsi="Arial" w:cs="Arial"/>
          <w:lang w:val="fr-FR"/>
        </w:rPr>
        <w:t>(Klein, 2016</w:t>
      </w:r>
      <w:r w:rsidR="004D1DEB" w:rsidRPr="00E43218">
        <w:rPr>
          <w:rFonts w:ascii="Arial" w:hAnsi="Arial" w:cs="Arial"/>
          <w:lang w:val="fr-FR"/>
        </w:rPr>
        <w:t xml:space="preserve"> ; </w:t>
      </w:r>
      <w:r w:rsidR="002F7548" w:rsidRPr="00E43218">
        <w:rPr>
          <w:rFonts w:ascii="Arial" w:hAnsi="Arial" w:cs="Arial"/>
          <w:lang w:val="fr-FR"/>
        </w:rPr>
        <w:t xml:space="preserve">International Institute for Strategic </w:t>
      </w:r>
      <w:proofErr w:type="spellStart"/>
      <w:r w:rsidR="002F7548" w:rsidRPr="00E43218">
        <w:rPr>
          <w:rFonts w:ascii="Arial" w:hAnsi="Arial" w:cs="Arial"/>
          <w:lang w:val="fr-FR"/>
        </w:rPr>
        <w:t>Studies</w:t>
      </w:r>
      <w:proofErr w:type="spellEnd"/>
      <w:r w:rsidRPr="00E43218">
        <w:rPr>
          <w:rFonts w:ascii="Arial" w:hAnsi="Arial" w:cs="Arial"/>
          <w:lang w:val="fr-FR"/>
        </w:rPr>
        <w:t xml:space="preserve">, 2016). </w:t>
      </w:r>
      <w:r w:rsidRPr="00B67BEF">
        <w:rPr>
          <w:rFonts w:ascii="Arial" w:hAnsi="Arial" w:cs="Arial"/>
          <w:lang w:val="fr-FR"/>
        </w:rPr>
        <w:t>Compte tenu du climat économique actuel en Russie, et en particulier des sanctions décrétées à l’encontre de Moscou et de l’effondrement des cours du pétrole, on peut toutefois s’attendre – comme l’a reconnu le ministre</w:t>
      </w:r>
      <w:r w:rsidR="004D1DEB" w:rsidRPr="00B67BEF">
        <w:rPr>
          <w:rFonts w:ascii="Arial" w:hAnsi="Arial" w:cs="Arial"/>
          <w:lang w:val="fr-FR"/>
        </w:rPr>
        <w:t> </w:t>
      </w:r>
      <w:r w:rsidRPr="00B67BEF">
        <w:rPr>
          <w:rFonts w:ascii="Arial" w:hAnsi="Arial" w:cs="Arial"/>
          <w:lang w:val="fr-FR"/>
        </w:rPr>
        <w:t>de</w:t>
      </w:r>
      <w:r w:rsidR="004D1DEB" w:rsidRPr="00B67BEF">
        <w:rPr>
          <w:rFonts w:ascii="Arial" w:hAnsi="Arial" w:cs="Arial"/>
          <w:lang w:val="fr-FR"/>
        </w:rPr>
        <w:t> </w:t>
      </w:r>
      <w:r w:rsidRPr="00B67BEF">
        <w:rPr>
          <w:rFonts w:ascii="Arial" w:hAnsi="Arial" w:cs="Arial"/>
          <w:lang w:val="fr-FR"/>
        </w:rPr>
        <w:t>la</w:t>
      </w:r>
      <w:r w:rsidR="004D1DEB" w:rsidRPr="00B67BEF">
        <w:rPr>
          <w:rFonts w:ascii="Arial" w:hAnsi="Arial" w:cs="Arial"/>
          <w:lang w:val="fr-FR"/>
        </w:rPr>
        <w:t> </w:t>
      </w:r>
      <w:r w:rsidRPr="00B67BEF">
        <w:rPr>
          <w:rFonts w:ascii="Arial" w:hAnsi="Arial" w:cs="Arial"/>
          <w:lang w:val="fr-FR"/>
        </w:rPr>
        <w:t>défense</w:t>
      </w:r>
      <w:r w:rsidR="004D1DEB" w:rsidRPr="00B67BEF">
        <w:rPr>
          <w:rFonts w:ascii="Arial" w:hAnsi="Arial" w:cs="Arial"/>
          <w:lang w:val="fr-FR"/>
        </w:rPr>
        <w:t> </w:t>
      </w:r>
      <w:proofErr w:type="spellStart"/>
      <w:r w:rsidR="00894AE9" w:rsidRPr="00B67BEF">
        <w:rPr>
          <w:rFonts w:ascii="Arial" w:hAnsi="Arial" w:cs="Arial"/>
          <w:lang w:val="fr-FR"/>
        </w:rPr>
        <w:t>Sergeï</w:t>
      </w:r>
      <w:proofErr w:type="spellEnd"/>
      <w:r w:rsidR="00894AE9" w:rsidRPr="00B67BEF">
        <w:rPr>
          <w:rFonts w:ascii="Arial" w:hAnsi="Arial" w:cs="Arial"/>
          <w:lang w:val="fr-FR"/>
        </w:rPr>
        <w:t xml:space="preserve"> </w:t>
      </w:r>
      <w:proofErr w:type="spellStart"/>
      <w:r w:rsidRPr="00B67BEF">
        <w:rPr>
          <w:rFonts w:ascii="Arial" w:hAnsi="Arial" w:cs="Arial"/>
          <w:lang w:val="fr-FR"/>
        </w:rPr>
        <w:t>Ch</w:t>
      </w:r>
      <w:r w:rsidR="004D1DEB" w:rsidRPr="00B67BEF">
        <w:rPr>
          <w:rFonts w:ascii="Arial" w:hAnsi="Arial" w:cs="Arial"/>
          <w:lang w:val="fr-FR"/>
        </w:rPr>
        <w:t>oïgou</w:t>
      </w:r>
      <w:proofErr w:type="spellEnd"/>
      <w:r w:rsidR="004D1DEB" w:rsidRPr="00B67BEF">
        <w:rPr>
          <w:rFonts w:ascii="Arial" w:hAnsi="Arial" w:cs="Arial"/>
          <w:lang w:val="fr-FR"/>
        </w:rPr>
        <w:t xml:space="preserve"> lui-même (TASS </w:t>
      </w:r>
      <w:r w:rsidR="00B67BEF" w:rsidRPr="00B67BEF">
        <w:rPr>
          <w:rFonts w:ascii="Arial" w:hAnsi="Arial" w:cs="Arial"/>
          <w:lang w:val="fr-FR"/>
        </w:rPr>
        <w:t>(c)</w:t>
      </w:r>
      <w:r w:rsidRPr="00B67BEF">
        <w:rPr>
          <w:rFonts w:ascii="Arial" w:hAnsi="Arial" w:cs="Arial"/>
          <w:lang w:val="fr-FR"/>
        </w:rPr>
        <w:t>, 2015) – à une révision à la baisse de ce financement, ce qui devrait se traduire par l’élagage de certains programmes non essentiels, leur prolongation au-delà de l’échéance de 2020, voire leur annu</w:t>
      </w:r>
      <w:r w:rsidR="00A43803" w:rsidRPr="00B67BEF">
        <w:rPr>
          <w:rFonts w:ascii="Arial" w:hAnsi="Arial" w:cs="Arial"/>
          <w:lang w:val="fr-FR"/>
        </w:rPr>
        <w:t>lation pure et simple (</w:t>
      </w:r>
      <w:r w:rsidR="002F7548" w:rsidRPr="00C24904">
        <w:rPr>
          <w:rFonts w:ascii="Arial" w:hAnsi="Arial" w:cs="Arial"/>
          <w:i/>
          <w:lang w:val="fr-FR"/>
        </w:rPr>
        <w:t xml:space="preserve">International Institute for Strategic </w:t>
      </w:r>
      <w:proofErr w:type="spellStart"/>
      <w:r w:rsidR="002F7548" w:rsidRPr="00C24904">
        <w:rPr>
          <w:rFonts w:ascii="Arial" w:hAnsi="Arial" w:cs="Arial"/>
          <w:i/>
          <w:lang w:val="fr-FR"/>
        </w:rPr>
        <w:t>Studies</w:t>
      </w:r>
      <w:proofErr w:type="spellEnd"/>
      <w:r w:rsidRPr="00B67BEF">
        <w:rPr>
          <w:rFonts w:ascii="Arial" w:hAnsi="Arial" w:cs="Arial"/>
          <w:lang w:val="fr-FR"/>
        </w:rPr>
        <w:t xml:space="preserve">, 2016). </w:t>
      </w:r>
      <w:r w:rsidRPr="00E43218">
        <w:rPr>
          <w:rFonts w:ascii="Arial" w:hAnsi="Arial" w:cs="Arial"/>
          <w:lang w:val="fr-FR"/>
        </w:rPr>
        <w:t xml:space="preserve">Il n’empêche que même si le </w:t>
      </w:r>
      <w:r w:rsidR="00A43803" w:rsidRPr="00E43218">
        <w:rPr>
          <w:rFonts w:ascii="Arial" w:hAnsi="Arial" w:cs="Arial"/>
          <w:lang w:val="fr-FR"/>
        </w:rPr>
        <w:t>programme d’armement</w:t>
      </w:r>
      <w:r w:rsidRPr="00E43218">
        <w:rPr>
          <w:rFonts w:ascii="Arial" w:hAnsi="Arial" w:cs="Arial"/>
          <w:lang w:val="fr-FR"/>
        </w:rPr>
        <w:t xml:space="preserve"> ne se concrétise </w:t>
      </w:r>
      <w:r w:rsidR="00894AE9" w:rsidRPr="00E43218">
        <w:rPr>
          <w:rFonts w:ascii="Arial" w:hAnsi="Arial" w:cs="Arial"/>
          <w:lang w:val="fr-FR"/>
        </w:rPr>
        <w:t xml:space="preserve">pas </w:t>
      </w:r>
      <w:r w:rsidRPr="00E43218">
        <w:rPr>
          <w:rFonts w:ascii="Arial" w:hAnsi="Arial" w:cs="Arial"/>
          <w:lang w:val="fr-FR"/>
        </w:rPr>
        <w:t>dans tous ses aspects, les forces russes sont dorénavant dotées d’une capacité de combat impressionnante (Klein, 2016).</w:t>
      </w:r>
    </w:p>
    <w:p w14:paraId="2ED73D12" w14:textId="77777777" w:rsidR="00C02C3A" w:rsidRPr="00963572" w:rsidRDefault="00C02C3A" w:rsidP="00963572"/>
    <w:p w14:paraId="7D1AF411" w14:textId="099DC272" w:rsidR="002C55FD" w:rsidRPr="00E43218" w:rsidRDefault="00D55FEA" w:rsidP="00963572">
      <w:pPr>
        <w:pStyle w:val="ListParagraph"/>
        <w:numPr>
          <w:ilvl w:val="0"/>
          <w:numId w:val="25"/>
        </w:numPr>
        <w:ind w:left="0" w:firstLine="0"/>
        <w:jc w:val="both"/>
        <w:rPr>
          <w:rFonts w:ascii="Arial" w:hAnsi="Arial" w:cs="Arial"/>
          <w:lang w:val="fr-FR"/>
        </w:rPr>
      </w:pPr>
      <w:r w:rsidRPr="00E43218">
        <w:rPr>
          <w:rFonts w:ascii="Arial" w:hAnsi="Arial" w:cs="Arial"/>
          <w:lang w:val="fr-FR"/>
        </w:rPr>
        <w:t>L’armée de terre est en train de se doter de matériels qui devraient lui permettre d’opérer dans des environnements à la fois très différents et difficiles allant des déserts du Moyen-Orient à l’espace post-soviétique en passant par l’Arctique. Priorité est donnée, outre les chars T-14 à blindage lourd très manœuvrables (</w:t>
      </w:r>
      <w:proofErr w:type="spellStart"/>
      <w:r w:rsidRPr="00E43218">
        <w:rPr>
          <w:rFonts w:ascii="Arial" w:hAnsi="Arial" w:cs="Arial"/>
          <w:lang w:val="fr-FR"/>
        </w:rPr>
        <w:t>Franko</w:t>
      </w:r>
      <w:proofErr w:type="spellEnd"/>
      <w:r w:rsidRPr="00E43218">
        <w:rPr>
          <w:rFonts w:ascii="Arial" w:hAnsi="Arial" w:cs="Arial"/>
          <w:lang w:val="fr-FR"/>
        </w:rPr>
        <w:t xml:space="preserve"> et </w:t>
      </w:r>
      <w:proofErr w:type="spellStart"/>
      <w:r w:rsidRPr="00E43218">
        <w:rPr>
          <w:rFonts w:ascii="Arial" w:hAnsi="Arial" w:cs="Arial"/>
          <w:lang w:val="fr-FR"/>
        </w:rPr>
        <w:t>Varagis</w:t>
      </w:r>
      <w:proofErr w:type="spellEnd"/>
      <w:r w:rsidRPr="00E43218">
        <w:rPr>
          <w:rFonts w:ascii="Arial" w:hAnsi="Arial" w:cs="Arial"/>
          <w:lang w:val="fr-FR"/>
        </w:rPr>
        <w:t>, 2015) et d’autres véhicules de pointe</w:t>
      </w:r>
      <w:r w:rsidRPr="00963572">
        <w:rPr>
          <w:rFonts w:ascii="Arial" w:hAnsi="Arial" w:cs="Arial"/>
          <w:vertAlign w:val="superscript"/>
        </w:rPr>
        <w:footnoteReference w:id="6"/>
      </w:r>
      <w:r w:rsidRPr="00E43218">
        <w:rPr>
          <w:rFonts w:ascii="Arial" w:hAnsi="Arial" w:cs="Arial"/>
          <w:lang w:val="fr-FR"/>
        </w:rPr>
        <w:t>, aux systèmes de missiles comme le S-400</w:t>
      </w:r>
      <w:r w:rsidRPr="00963572">
        <w:rPr>
          <w:rFonts w:ascii="Arial" w:hAnsi="Arial" w:cs="Arial"/>
          <w:vertAlign w:val="superscript"/>
        </w:rPr>
        <w:footnoteReference w:id="7"/>
      </w:r>
      <w:r w:rsidRPr="00E43218">
        <w:rPr>
          <w:rFonts w:ascii="Arial" w:hAnsi="Arial" w:cs="Arial"/>
          <w:lang w:val="fr-FR"/>
        </w:rPr>
        <w:t xml:space="preserve"> (portée de 400 km) et l’</w:t>
      </w:r>
      <w:proofErr w:type="spellStart"/>
      <w:r w:rsidRPr="00E43218">
        <w:rPr>
          <w:rFonts w:ascii="Arial" w:hAnsi="Arial" w:cs="Arial"/>
          <w:lang w:val="fr-FR"/>
        </w:rPr>
        <w:t>Iskander</w:t>
      </w:r>
      <w:proofErr w:type="spellEnd"/>
      <w:r w:rsidRPr="00E43218">
        <w:rPr>
          <w:rFonts w:ascii="Arial" w:hAnsi="Arial" w:cs="Arial"/>
          <w:lang w:val="fr-FR"/>
        </w:rPr>
        <w:t>-M mod</w:t>
      </w:r>
      <w:r w:rsidR="00477FC4" w:rsidRPr="00E43218">
        <w:rPr>
          <w:rFonts w:ascii="Arial" w:hAnsi="Arial" w:cs="Arial"/>
          <w:lang w:val="fr-FR"/>
        </w:rPr>
        <w:t>ernisé (portée de 500 km) (TASS(</w:t>
      </w:r>
      <w:r w:rsidR="00894AE9" w:rsidRPr="00E43218">
        <w:rPr>
          <w:rFonts w:ascii="Arial" w:hAnsi="Arial" w:cs="Arial"/>
          <w:lang w:val="fr-FR"/>
        </w:rPr>
        <w:t>c</w:t>
      </w:r>
      <w:r w:rsidR="00477FC4" w:rsidRPr="00E43218">
        <w:rPr>
          <w:rFonts w:ascii="Arial" w:hAnsi="Arial" w:cs="Arial"/>
          <w:lang w:val="fr-FR"/>
        </w:rPr>
        <w:t>)</w:t>
      </w:r>
      <w:r w:rsidRPr="00E43218">
        <w:rPr>
          <w:rFonts w:ascii="Arial" w:hAnsi="Arial" w:cs="Arial"/>
          <w:lang w:val="fr-FR"/>
        </w:rPr>
        <w:t>, 2015), capables tous deux de frapper des objectifs en profondeur sur le territoire européen (</w:t>
      </w:r>
      <w:proofErr w:type="spellStart"/>
      <w:r w:rsidRPr="00E43218">
        <w:rPr>
          <w:rFonts w:ascii="Arial" w:hAnsi="Arial" w:cs="Arial"/>
          <w:lang w:val="fr-FR"/>
        </w:rPr>
        <w:t>Farley</w:t>
      </w:r>
      <w:proofErr w:type="spellEnd"/>
      <w:r w:rsidRPr="00E43218">
        <w:rPr>
          <w:rFonts w:ascii="Arial" w:hAnsi="Arial" w:cs="Arial"/>
          <w:lang w:val="fr-FR"/>
        </w:rPr>
        <w:t xml:space="preserve">, 2014). </w:t>
      </w:r>
    </w:p>
    <w:p w14:paraId="70A81ADF" w14:textId="77777777" w:rsidR="00C02C3A" w:rsidRPr="00963572" w:rsidRDefault="00C02C3A" w:rsidP="00963572"/>
    <w:p w14:paraId="7C1BE228" w14:textId="45D665E5" w:rsidR="00D55FEA" w:rsidRPr="00B67BEF" w:rsidRDefault="00D55FEA" w:rsidP="00963572">
      <w:pPr>
        <w:pStyle w:val="ListParagraph"/>
        <w:numPr>
          <w:ilvl w:val="0"/>
          <w:numId w:val="25"/>
        </w:numPr>
        <w:ind w:left="0" w:firstLine="0"/>
        <w:jc w:val="both"/>
        <w:rPr>
          <w:rFonts w:ascii="Arial" w:hAnsi="Arial" w:cs="Arial"/>
          <w:lang w:val="fr-FR"/>
        </w:rPr>
      </w:pPr>
      <w:r w:rsidRPr="00E43218">
        <w:rPr>
          <w:rFonts w:ascii="Arial" w:hAnsi="Arial" w:cs="Arial"/>
          <w:lang w:val="fr-FR"/>
        </w:rPr>
        <w:t>S’agissant de la modernisation des forces aériennes russes, Moscou a mis en service une flotte de nouveaux appareils de chasse et de bombardiers, ainsi que des drones destinés à des missions autres que de combat. Les forces nucléaires stratégiques et les capacités de défense aérienne reçoivent une attention toute particulière (Klein, 2016). Malgré certains problèmes techniques, la Russie a progressé dans la mise au point de son système spatial uni faisant appel à des satellites pour la détection de missiles nucléaires</w:t>
      </w:r>
      <w:r w:rsidRPr="00963572">
        <w:rPr>
          <w:rFonts w:ascii="Arial" w:hAnsi="Arial" w:cs="Arial"/>
          <w:vertAlign w:val="superscript"/>
        </w:rPr>
        <w:footnoteReference w:id="8"/>
      </w:r>
      <w:r w:rsidR="00894AE9" w:rsidRPr="00E43218">
        <w:rPr>
          <w:rFonts w:ascii="Arial" w:hAnsi="Arial" w:cs="Arial"/>
          <w:lang w:val="fr-FR"/>
        </w:rPr>
        <w:t>.</w:t>
      </w:r>
      <w:r w:rsidRPr="00E43218">
        <w:rPr>
          <w:rFonts w:ascii="Arial" w:hAnsi="Arial" w:cs="Arial"/>
          <w:lang w:val="fr-FR"/>
        </w:rPr>
        <w:t xml:space="preserve"> Elle a également renforcé ses forces de fusées stratégiques en déployant, aux côtés des missiles </w:t>
      </w:r>
      <w:proofErr w:type="spellStart"/>
      <w:r w:rsidRPr="00E43218">
        <w:rPr>
          <w:rFonts w:ascii="Arial" w:hAnsi="Arial" w:cs="Arial"/>
          <w:lang w:val="fr-FR"/>
        </w:rPr>
        <w:t>Topo</w:t>
      </w:r>
      <w:r w:rsidR="00894AE9" w:rsidRPr="00E43218">
        <w:rPr>
          <w:rFonts w:ascii="Arial" w:hAnsi="Arial" w:cs="Arial"/>
          <w:lang w:val="fr-FR"/>
        </w:rPr>
        <w:t>l</w:t>
      </w:r>
      <w:proofErr w:type="spellEnd"/>
      <w:r w:rsidR="00894AE9" w:rsidRPr="00E43218">
        <w:rPr>
          <w:rFonts w:ascii="Arial" w:hAnsi="Arial" w:cs="Arial"/>
          <w:lang w:val="fr-FR"/>
        </w:rPr>
        <w:t>-M déjà en service, plus de 30 </w:t>
      </w:r>
      <w:r w:rsidRPr="00E43218">
        <w:rPr>
          <w:rFonts w:ascii="Arial" w:hAnsi="Arial" w:cs="Arial"/>
          <w:lang w:val="fr-FR"/>
        </w:rPr>
        <w:t>missiles balistiques intercontinentaux YARS pouvant être montés sur véhicules ro</w:t>
      </w:r>
      <w:r w:rsidR="002C55FD" w:rsidRPr="00E43218">
        <w:rPr>
          <w:rFonts w:ascii="Arial" w:hAnsi="Arial" w:cs="Arial"/>
          <w:lang w:val="fr-FR"/>
        </w:rPr>
        <w:t xml:space="preserve">utiers </w:t>
      </w:r>
      <w:r w:rsidR="004F3B9A" w:rsidRPr="00E43218">
        <w:rPr>
          <w:rFonts w:ascii="Arial" w:hAnsi="Arial" w:cs="Arial"/>
          <w:lang w:val="fr-FR"/>
        </w:rPr>
        <w:t>ou basés en silos (TASS</w:t>
      </w:r>
      <w:r w:rsidR="002C55FD" w:rsidRPr="00E43218">
        <w:rPr>
          <w:rFonts w:ascii="Arial" w:hAnsi="Arial" w:cs="Arial"/>
          <w:lang w:val="fr-FR"/>
        </w:rPr>
        <w:t>(</w:t>
      </w:r>
      <w:r w:rsidR="00894AE9" w:rsidRPr="00E43218">
        <w:rPr>
          <w:rFonts w:ascii="Arial" w:hAnsi="Arial" w:cs="Arial"/>
          <w:lang w:val="fr-FR"/>
        </w:rPr>
        <w:t>d</w:t>
      </w:r>
      <w:r w:rsidR="002C55FD" w:rsidRPr="00E43218">
        <w:rPr>
          <w:rFonts w:ascii="Arial" w:hAnsi="Arial" w:cs="Arial"/>
          <w:lang w:val="fr-FR"/>
        </w:rPr>
        <w:t>)</w:t>
      </w:r>
      <w:r w:rsidRPr="00E43218">
        <w:rPr>
          <w:rFonts w:ascii="Arial" w:hAnsi="Arial" w:cs="Arial"/>
          <w:lang w:val="fr-FR"/>
        </w:rPr>
        <w:t xml:space="preserve">, 2015 ; </w:t>
      </w:r>
      <w:r w:rsidR="002F7548" w:rsidRPr="00C24904">
        <w:rPr>
          <w:rFonts w:ascii="Arial" w:hAnsi="Arial" w:cs="Arial"/>
          <w:i/>
          <w:lang w:val="fr-FR"/>
        </w:rPr>
        <w:t xml:space="preserve">International Institute for Strategic </w:t>
      </w:r>
      <w:proofErr w:type="spellStart"/>
      <w:r w:rsidR="002F7548" w:rsidRPr="00C24904">
        <w:rPr>
          <w:rFonts w:ascii="Arial" w:hAnsi="Arial" w:cs="Arial"/>
          <w:i/>
          <w:lang w:val="fr-FR"/>
        </w:rPr>
        <w:t>Studies</w:t>
      </w:r>
      <w:proofErr w:type="spellEnd"/>
      <w:r w:rsidRPr="00E43218">
        <w:rPr>
          <w:rFonts w:ascii="Arial" w:hAnsi="Arial" w:cs="Arial"/>
          <w:lang w:val="fr-FR"/>
        </w:rPr>
        <w:t xml:space="preserve">, 2016). </w:t>
      </w:r>
      <w:r w:rsidRPr="00B67BEF">
        <w:rPr>
          <w:rFonts w:ascii="Arial" w:hAnsi="Arial" w:cs="Arial"/>
          <w:lang w:val="fr-FR"/>
        </w:rPr>
        <w:t>Les deux autres composantes de la triade nucléaire ont été renforcées respectivement par</w:t>
      </w:r>
      <w:r w:rsidR="00A43803" w:rsidRPr="00B67BEF">
        <w:rPr>
          <w:rFonts w:ascii="Arial" w:hAnsi="Arial" w:cs="Arial"/>
          <w:lang w:val="fr-FR"/>
        </w:rPr>
        <w:t xml:space="preserve"> dix bombardiers (TU </w:t>
      </w:r>
      <w:r w:rsidR="00B67BEF" w:rsidRPr="00B67BEF">
        <w:rPr>
          <w:rFonts w:ascii="Arial" w:hAnsi="Arial" w:cs="Arial"/>
          <w:lang w:val="fr-FR"/>
        </w:rPr>
        <w:t xml:space="preserve">160 et </w:t>
      </w:r>
      <w:r w:rsidRPr="00B67BEF">
        <w:rPr>
          <w:rFonts w:ascii="Arial" w:hAnsi="Arial" w:cs="Arial"/>
          <w:lang w:val="fr-FR"/>
        </w:rPr>
        <w:t xml:space="preserve">95) et par huit sous-marins nucléaires, dont deux sont déjà en service. Toutes ces mesures répondent, affirme Moscou, à la mise en œuvre par les </w:t>
      </w:r>
      <w:r w:rsidR="00E11330" w:rsidRPr="00B67BEF">
        <w:rPr>
          <w:rFonts w:ascii="Arial" w:hAnsi="Arial" w:cs="Arial"/>
          <w:lang w:val="fr-FR"/>
        </w:rPr>
        <w:t>État</w:t>
      </w:r>
      <w:r w:rsidRPr="00B67BEF">
        <w:rPr>
          <w:rFonts w:ascii="Arial" w:hAnsi="Arial" w:cs="Arial"/>
          <w:lang w:val="fr-FR"/>
        </w:rPr>
        <w:t xml:space="preserve">s-Unis et l’OTAN du plan d’action « réactivité », au lancement du concept de frappe </w:t>
      </w:r>
      <w:r w:rsidR="00C24904">
        <w:rPr>
          <w:rFonts w:ascii="Arial" w:hAnsi="Arial" w:cs="Arial"/>
          <w:lang w:val="fr-FR"/>
        </w:rPr>
        <w:t>globale</w:t>
      </w:r>
      <w:r w:rsidRPr="00B67BEF">
        <w:rPr>
          <w:rFonts w:ascii="Arial" w:hAnsi="Arial" w:cs="Arial"/>
          <w:lang w:val="fr-FR"/>
        </w:rPr>
        <w:t xml:space="preserve"> rapide et au projet de déploiement d’armes dans l’espace (</w:t>
      </w:r>
      <w:r w:rsidR="00B67BEF" w:rsidRPr="00B67BEF">
        <w:rPr>
          <w:rFonts w:ascii="Arial" w:hAnsi="Arial" w:cs="Arial"/>
          <w:lang w:val="fr-FR"/>
        </w:rPr>
        <w:t xml:space="preserve">The </w:t>
      </w:r>
      <w:r w:rsidRPr="00B67BEF">
        <w:rPr>
          <w:rFonts w:ascii="Arial" w:hAnsi="Arial" w:cs="Arial"/>
          <w:lang w:val="fr-FR"/>
        </w:rPr>
        <w:t>Kremlin, 2015).</w:t>
      </w:r>
    </w:p>
    <w:p w14:paraId="1654019C" w14:textId="77777777" w:rsidR="00C90D91" w:rsidRPr="00873F20" w:rsidRDefault="00C90D91" w:rsidP="002C55FD"/>
    <w:p w14:paraId="2FCE70B3" w14:textId="412C7408" w:rsidR="00C90D91" w:rsidRPr="00873F20" w:rsidRDefault="00C90D91" w:rsidP="002C55FD">
      <w:pPr>
        <w:rPr>
          <w:b/>
        </w:rPr>
      </w:pPr>
      <w:r w:rsidRPr="00873F20">
        <w:rPr>
          <w:b/>
        </w:rPr>
        <w:tab/>
        <w:t>C.</w:t>
      </w:r>
      <w:r w:rsidRPr="00873F20">
        <w:rPr>
          <w:b/>
        </w:rPr>
        <w:tab/>
        <w:t>RENFORCER LA PRÉPARATION AU COMBAT</w:t>
      </w:r>
    </w:p>
    <w:p w14:paraId="54C01031" w14:textId="77777777" w:rsidR="00C02C3A" w:rsidRPr="00873F20" w:rsidRDefault="00C02C3A" w:rsidP="00C02C3A"/>
    <w:p w14:paraId="673A04C9" w14:textId="6D9724E4" w:rsidR="00D55FEA" w:rsidRPr="00E43218" w:rsidRDefault="00D55FEA" w:rsidP="00B67BEF">
      <w:pPr>
        <w:pStyle w:val="ListParagraph"/>
        <w:numPr>
          <w:ilvl w:val="0"/>
          <w:numId w:val="25"/>
        </w:numPr>
        <w:tabs>
          <w:tab w:val="left" w:pos="567"/>
        </w:tabs>
        <w:ind w:left="0" w:firstLine="0"/>
        <w:jc w:val="both"/>
        <w:rPr>
          <w:rFonts w:ascii="Arial" w:hAnsi="Arial" w:cs="Arial"/>
          <w:lang w:val="fr-FR"/>
        </w:rPr>
      </w:pPr>
      <w:r w:rsidRPr="00B67BEF">
        <w:rPr>
          <w:rFonts w:ascii="Arial" w:hAnsi="Arial" w:cs="Arial"/>
          <w:lang w:val="fr-FR"/>
        </w:rPr>
        <w:t xml:space="preserve">S’agissant de la préparation au combat, Moscou s’attache à réaliser d’importants changements structurels et à accélérer la cadence des entraînements. </w:t>
      </w:r>
      <w:r w:rsidRPr="00E43218">
        <w:rPr>
          <w:rFonts w:ascii="Arial" w:hAnsi="Arial" w:cs="Arial"/>
          <w:lang w:val="fr-FR"/>
        </w:rPr>
        <w:t>Ainsi, la Russie procède à d’importants investissements dans des systèmes C2 modernes, et a réorganisé chacun de ses cinq districts militaires en y intégrant un commandement stratégique opérationnel interarmées, de manière à améliorer la prise de décisions. Le nouveau Centre national de défense implanté à Moscou permet de disposer d’une connaissance de la situation en temps réel et facilite une coordination centralisée durant les opérations (</w:t>
      </w:r>
      <w:r w:rsidR="00B67BEF" w:rsidRPr="00E43218">
        <w:rPr>
          <w:rFonts w:ascii="Arial" w:hAnsi="Arial" w:cs="Arial"/>
          <w:lang w:val="fr-FR"/>
        </w:rPr>
        <w:t xml:space="preserve">The </w:t>
      </w:r>
      <w:r w:rsidRPr="00E43218">
        <w:rPr>
          <w:rFonts w:ascii="Arial" w:hAnsi="Arial" w:cs="Arial"/>
          <w:lang w:val="fr-FR"/>
        </w:rPr>
        <w:t xml:space="preserve">Kremlin, 2014 ; </w:t>
      </w:r>
      <w:r w:rsidR="002F7548" w:rsidRPr="00C24904">
        <w:rPr>
          <w:rFonts w:ascii="Arial" w:hAnsi="Arial" w:cs="Arial"/>
          <w:i/>
          <w:lang w:val="fr-FR"/>
        </w:rPr>
        <w:t xml:space="preserve">International Institute for Strategic </w:t>
      </w:r>
      <w:proofErr w:type="spellStart"/>
      <w:r w:rsidR="002F7548" w:rsidRPr="00C24904">
        <w:rPr>
          <w:rFonts w:ascii="Arial" w:hAnsi="Arial" w:cs="Arial"/>
          <w:i/>
          <w:lang w:val="fr-FR"/>
        </w:rPr>
        <w:t>Studies</w:t>
      </w:r>
      <w:proofErr w:type="spellEnd"/>
      <w:r w:rsidRPr="00E43218">
        <w:rPr>
          <w:rFonts w:ascii="Arial" w:hAnsi="Arial" w:cs="Arial"/>
          <w:lang w:val="fr-FR"/>
        </w:rPr>
        <w:t xml:space="preserve">, 2016). Le concept de commandement unifié a été mis à l’épreuve pour la première fois au cours d’exercices </w:t>
      </w:r>
      <w:r w:rsidR="00477FC4" w:rsidRPr="00E43218">
        <w:rPr>
          <w:rFonts w:ascii="Arial" w:hAnsi="Arial" w:cs="Arial"/>
          <w:lang w:val="fr-FR"/>
        </w:rPr>
        <w:t xml:space="preserve">menés </w:t>
      </w:r>
      <w:r w:rsidRPr="00E43218">
        <w:rPr>
          <w:rFonts w:ascii="Arial" w:hAnsi="Arial" w:cs="Arial"/>
          <w:lang w:val="fr-FR"/>
        </w:rPr>
        <w:t>le l</w:t>
      </w:r>
      <w:r w:rsidR="00477FC4" w:rsidRPr="00E43218">
        <w:rPr>
          <w:rFonts w:ascii="Arial" w:hAnsi="Arial" w:cs="Arial"/>
          <w:lang w:val="fr-FR"/>
        </w:rPr>
        <w:t xml:space="preserve">ong de la frontière occidentale, et </w:t>
      </w:r>
      <w:r w:rsidRPr="00E43218">
        <w:rPr>
          <w:rFonts w:ascii="Arial" w:hAnsi="Arial" w:cs="Arial"/>
          <w:lang w:val="fr-FR"/>
        </w:rPr>
        <w:t xml:space="preserve">qui réunissaient des forces terrestres, aéroportées et navales ainsi que des troupes </w:t>
      </w:r>
      <w:r w:rsidRPr="00C24904">
        <w:rPr>
          <w:rFonts w:ascii="Arial" w:hAnsi="Arial" w:cs="Arial"/>
          <w:lang w:val="fr-FR"/>
        </w:rPr>
        <w:t>d’infanterie (</w:t>
      </w:r>
      <w:r w:rsidR="002F7548" w:rsidRPr="00C24904">
        <w:rPr>
          <w:rFonts w:ascii="Arial" w:hAnsi="Arial" w:cs="Arial"/>
          <w:i/>
          <w:lang w:val="fr-FR"/>
        </w:rPr>
        <w:t xml:space="preserve">International Institute for Strategic </w:t>
      </w:r>
      <w:proofErr w:type="spellStart"/>
      <w:r w:rsidR="002F7548" w:rsidRPr="00C24904">
        <w:rPr>
          <w:rFonts w:ascii="Arial" w:hAnsi="Arial" w:cs="Arial"/>
          <w:i/>
          <w:lang w:val="fr-FR"/>
        </w:rPr>
        <w:t>Studies</w:t>
      </w:r>
      <w:proofErr w:type="spellEnd"/>
      <w:r w:rsidRPr="00C24904">
        <w:rPr>
          <w:rFonts w:ascii="Arial" w:hAnsi="Arial" w:cs="Arial"/>
          <w:lang w:val="fr-FR"/>
        </w:rPr>
        <w:t>, 2016). En temps de crise, la prise de décision centra</w:t>
      </w:r>
      <w:r w:rsidR="004F3B9A" w:rsidRPr="00C24904">
        <w:rPr>
          <w:rFonts w:ascii="Arial" w:hAnsi="Arial" w:cs="Arial"/>
          <w:lang w:val="fr-FR"/>
        </w:rPr>
        <w:t xml:space="preserve">lisée pourrait </w:t>
      </w:r>
      <w:r w:rsidRPr="00C24904">
        <w:rPr>
          <w:rFonts w:ascii="Arial" w:hAnsi="Arial" w:cs="Arial"/>
          <w:lang w:val="fr-FR"/>
        </w:rPr>
        <w:t xml:space="preserve">conférer à Moscou un avantage </w:t>
      </w:r>
      <w:r w:rsidR="004F3B9A" w:rsidRPr="00C24904">
        <w:rPr>
          <w:rFonts w:ascii="Arial" w:hAnsi="Arial" w:cs="Arial"/>
          <w:lang w:val="fr-FR"/>
        </w:rPr>
        <w:t xml:space="preserve">temporel </w:t>
      </w:r>
      <w:r w:rsidRPr="00C24904">
        <w:rPr>
          <w:rFonts w:ascii="Arial" w:hAnsi="Arial" w:cs="Arial"/>
          <w:lang w:val="fr-FR"/>
        </w:rPr>
        <w:t xml:space="preserve">sur l’OTAN, qui </w:t>
      </w:r>
      <w:r w:rsidR="00B67BEF" w:rsidRPr="00C24904">
        <w:rPr>
          <w:rFonts w:ascii="Arial" w:hAnsi="Arial" w:cs="Arial"/>
          <w:lang w:val="fr-FR"/>
        </w:rPr>
        <w:t>favorise</w:t>
      </w:r>
      <w:r w:rsidRPr="00C24904">
        <w:rPr>
          <w:rFonts w:ascii="Arial" w:hAnsi="Arial" w:cs="Arial"/>
          <w:lang w:val="fr-FR"/>
        </w:rPr>
        <w:t xml:space="preserve"> une structu</w:t>
      </w:r>
      <w:r w:rsidRPr="00E43218">
        <w:rPr>
          <w:rFonts w:ascii="Arial" w:hAnsi="Arial" w:cs="Arial"/>
          <w:lang w:val="fr-FR"/>
        </w:rPr>
        <w:t>re de décision</w:t>
      </w:r>
      <w:r w:rsidR="002F7548" w:rsidRPr="00E43218">
        <w:rPr>
          <w:rFonts w:ascii="Arial" w:hAnsi="Arial" w:cs="Arial"/>
          <w:lang w:val="fr-FR"/>
        </w:rPr>
        <w:t xml:space="preserve"> basée sur le consensus (Klein, </w:t>
      </w:r>
      <w:r w:rsidRPr="00E43218">
        <w:rPr>
          <w:rFonts w:ascii="Arial" w:hAnsi="Arial" w:cs="Arial"/>
          <w:lang w:val="fr-FR"/>
        </w:rPr>
        <w:t>2016).</w:t>
      </w:r>
    </w:p>
    <w:p w14:paraId="37D67CD2" w14:textId="77777777" w:rsidR="00C02C3A" w:rsidRPr="00B67BEF" w:rsidRDefault="00C02C3A" w:rsidP="00B67BEF"/>
    <w:p w14:paraId="3A7F4A0C" w14:textId="261EDB87" w:rsidR="00D55FEA" w:rsidRPr="00E43218" w:rsidRDefault="00D55FEA" w:rsidP="00B67BEF">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Les frontières occidentale et méridionale bénéficient d’une attention tout</w:t>
      </w:r>
      <w:r w:rsidR="00B67BEF" w:rsidRPr="00E43218">
        <w:rPr>
          <w:rFonts w:ascii="Arial" w:hAnsi="Arial" w:cs="Arial"/>
          <w:lang w:val="fr-FR"/>
        </w:rPr>
        <w:t>e</w:t>
      </w:r>
      <w:r w:rsidRPr="00E43218">
        <w:rPr>
          <w:rFonts w:ascii="Arial" w:hAnsi="Arial" w:cs="Arial"/>
          <w:lang w:val="fr-FR"/>
        </w:rPr>
        <w:t xml:space="preserve"> particulière. L’année 2015 a vu l’arrivée, dans le district militaire occidental, de la nouvelle 1</w:t>
      </w:r>
      <w:r w:rsidRPr="00E43218">
        <w:rPr>
          <w:rFonts w:ascii="Arial" w:hAnsi="Arial" w:cs="Arial"/>
          <w:vertAlign w:val="superscript"/>
          <w:lang w:val="fr-FR"/>
        </w:rPr>
        <w:t>ère</w:t>
      </w:r>
      <w:r w:rsidRPr="00E43218">
        <w:rPr>
          <w:rFonts w:ascii="Arial" w:hAnsi="Arial" w:cs="Arial"/>
          <w:lang w:val="fr-FR"/>
        </w:rPr>
        <w:t xml:space="preserve"> armée de blindés et d’une trentaine d’unités militaires de divers type (TASS</w:t>
      </w:r>
      <w:r w:rsidR="00B67BEF" w:rsidRPr="00E43218">
        <w:rPr>
          <w:rFonts w:ascii="Arial" w:hAnsi="Arial" w:cs="Arial"/>
          <w:lang w:val="fr-FR"/>
        </w:rPr>
        <w:t>(a)</w:t>
      </w:r>
      <w:r w:rsidRPr="00E43218">
        <w:rPr>
          <w:rFonts w:ascii="Arial" w:hAnsi="Arial" w:cs="Arial"/>
          <w:lang w:val="fr-FR"/>
        </w:rPr>
        <w:t xml:space="preserve">, 2016), qui ont porté à trois le </w:t>
      </w:r>
      <w:r w:rsidR="00B67BEF" w:rsidRPr="00E43218">
        <w:rPr>
          <w:rFonts w:ascii="Arial" w:hAnsi="Arial" w:cs="Arial"/>
          <w:lang w:val="fr-FR"/>
        </w:rPr>
        <w:t>nombre d’armées</w:t>
      </w:r>
      <w:r w:rsidRPr="00E43218">
        <w:rPr>
          <w:rFonts w:ascii="Arial" w:hAnsi="Arial" w:cs="Arial"/>
          <w:lang w:val="fr-FR"/>
        </w:rPr>
        <w:t xml:space="preserve"> présentes dans la région (</w:t>
      </w:r>
      <w:r w:rsidR="00776DB7" w:rsidRPr="00C24904">
        <w:rPr>
          <w:rFonts w:ascii="Arial" w:hAnsi="Arial" w:cs="Arial"/>
          <w:i/>
          <w:lang w:val="fr-FR"/>
        </w:rPr>
        <w:t xml:space="preserve">Ministry of </w:t>
      </w:r>
      <w:proofErr w:type="spellStart"/>
      <w:r w:rsidR="00776DB7" w:rsidRPr="00C24904">
        <w:rPr>
          <w:rFonts w:ascii="Arial" w:hAnsi="Arial" w:cs="Arial"/>
          <w:i/>
          <w:lang w:val="fr-FR"/>
        </w:rPr>
        <w:t>Defence</w:t>
      </w:r>
      <w:proofErr w:type="spellEnd"/>
      <w:r w:rsidR="00776DB7" w:rsidRPr="00C24904">
        <w:rPr>
          <w:rFonts w:ascii="Arial" w:hAnsi="Arial" w:cs="Arial"/>
          <w:i/>
          <w:lang w:val="fr-FR"/>
        </w:rPr>
        <w:t xml:space="preserve"> of the </w:t>
      </w:r>
      <w:proofErr w:type="spellStart"/>
      <w:r w:rsidR="00776DB7" w:rsidRPr="00C24904">
        <w:rPr>
          <w:rFonts w:ascii="Arial" w:hAnsi="Arial" w:cs="Arial"/>
          <w:i/>
          <w:lang w:val="fr-FR"/>
        </w:rPr>
        <w:t>Russian</w:t>
      </w:r>
      <w:proofErr w:type="spellEnd"/>
      <w:r w:rsidR="00776DB7" w:rsidRPr="00C24904">
        <w:rPr>
          <w:rFonts w:ascii="Arial" w:hAnsi="Arial" w:cs="Arial"/>
          <w:i/>
          <w:lang w:val="fr-FR"/>
        </w:rPr>
        <w:t xml:space="preserve"> </w:t>
      </w:r>
      <w:proofErr w:type="spellStart"/>
      <w:r w:rsidR="00776DB7" w:rsidRPr="00C24904">
        <w:rPr>
          <w:rFonts w:ascii="Arial" w:hAnsi="Arial" w:cs="Arial"/>
          <w:i/>
          <w:lang w:val="fr-FR"/>
        </w:rPr>
        <w:t>Federation</w:t>
      </w:r>
      <w:proofErr w:type="spellEnd"/>
      <w:r w:rsidRPr="00E43218">
        <w:rPr>
          <w:rFonts w:ascii="Arial" w:hAnsi="Arial" w:cs="Arial"/>
          <w:lang w:val="fr-FR"/>
        </w:rPr>
        <w:t>, 2015). Trois nouvelles divisions et l’infrastructure correspondante viendront les rejoindre en 2016 (TASS</w:t>
      </w:r>
      <w:r w:rsidR="00C90D91" w:rsidRPr="00E43218">
        <w:rPr>
          <w:rFonts w:ascii="Arial" w:hAnsi="Arial" w:cs="Arial"/>
          <w:lang w:val="fr-FR"/>
        </w:rPr>
        <w:t>(</w:t>
      </w:r>
      <w:r w:rsidRPr="00E43218">
        <w:rPr>
          <w:rFonts w:ascii="Arial" w:hAnsi="Arial" w:cs="Arial"/>
          <w:lang w:val="fr-FR"/>
        </w:rPr>
        <w:t>b</w:t>
      </w:r>
      <w:r w:rsidR="00C90D91" w:rsidRPr="00E43218">
        <w:rPr>
          <w:rFonts w:ascii="Arial" w:hAnsi="Arial" w:cs="Arial"/>
          <w:lang w:val="fr-FR"/>
        </w:rPr>
        <w:t>)</w:t>
      </w:r>
      <w:r w:rsidRPr="00E43218">
        <w:rPr>
          <w:rFonts w:ascii="Arial" w:hAnsi="Arial" w:cs="Arial"/>
          <w:lang w:val="fr-FR"/>
        </w:rPr>
        <w:t xml:space="preserve">, 2016). La Russie a par ailleurs renforcé sa présence militaire en Crimée, modernisé sa flotte en mer Noire et mené à </w:t>
      </w:r>
      <w:r w:rsidR="00C24904">
        <w:rPr>
          <w:rFonts w:ascii="Arial" w:hAnsi="Arial" w:cs="Arial"/>
          <w:lang w:val="fr-FR"/>
        </w:rPr>
        <w:t>terme</w:t>
      </w:r>
      <w:r w:rsidRPr="00E43218">
        <w:rPr>
          <w:rFonts w:ascii="Arial" w:hAnsi="Arial" w:cs="Arial"/>
          <w:lang w:val="fr-FR"/>
        </w:rPr>
        <w:t xml:space="preserve"> l’intégration des unités militaires ukrainiennes autrefois basées dans la région (</w:t>
      </w:r>
      <w:r w:rsidR="002F7548" w:rsidRPr="00C24904">
        <w:rPr>
          <w:rFonts w:ascii="Arial" w:hAnsi="Arial" w:cs="Arial"/>
          <w:i/>
          <w:lang w:val="fr-FR"/>
        </w:rPr>
        <w:t xml:space="preserve">International Institute for Strategic </w:t>
      </w:r>
      <w:proofErr w:type="spellStart"/>
      <w:r w:rsidR="002F7548" w:rsidRPr="00C24904">
        <w:rPr>
          <w:rFonts w:ascii="Arial" w:hAnsi="Arial" w:cs="Arial"/>
          <w:i/>
          <w:lang w:val="fr-FR"/>
        </w:rPr>
        <w:t>Studies</w:t>
      </w:r>
      <w:proofErr w:type="spellEnd"/>
      <w:r w:rsidRPr="00E43218">
        <w:rPr>
          <w:rFonts w:ascii="Arial" w:hAnsi="Arial" w:cs="Arial"/>
          <w:lang w:val="fr-FR"/>
        </w:rPr>
        <w:t>, 2016). Ces mesures justifiées, selon Moscou, par le renforcement militaire dans la partie orientale du territoire de l’OTAN montrent bien que la Russie cherche à renforcer ses capacités et à relever son niveau de préparation sur sa frontière</w:t>
      </w:r>
      <w:r w:rsidR="00FE0F4E" w:rsidRPr="00E43218">
        <w:rPr>
          <w:rFonts w:ascii="Arial" w:hAnsi="Arial" w:cs="Arial"/>
          <w:lang w:val="fr-FR"/>
        </w:rPr>
        <w:t xml:space="preserve"> occidentale (Klein, 2016</w:t>
      </w:r>
      <w:r w:rsidR="00B67BEF" w:rsidRPr="00E43218">
        <w:rPr>
          <w:rFonts w:ascii="Arial" w:hAnsi="Arial" w:cs="Arial"/>
          <w:lang w:val="fr-FR"/>
        </w:rPr>
        <w:t xml:space="preserve"> </w:t>
      </w:r>
      <w:r w:rsidR="00FE0F4E" w:rsidRPr="00E43218">
        <w:rPr>
          <w:rFonts w:ascii="Arial" w:hAnsi="Arial" w:cs="Arial"/>
          <w:lang w:val="fr-FR"/>
        </w:rPr>
        <w:t>; TASS(</w:t>
      </w:r>
      <w:r w:rsidRPr="00E43218">
        <w:rPr>
          <w:rFonts w:ascii="Arial" w:hAnsi="Arial" w:cs="Arial"/>
          <w:lang w:val="fr-FR"/>
        </w:rPr>
        <w:t>a</w:t>
      </w:r>
      <w:r w:rsidR="00FE0F4E" w:rsidRPr="00E43218">
        <w:rPr>
          <w:rFonts w:ascii="Arial" w:hAnsi="Arial" w:cs="Arial"/>
          <w:lang w:val="fr-FR"/>
        </w:rPr>
        <w:t>)</w:t>
      </w:r>
      <w:r w:rsidRPr="00E43218">
        <w:rPr>
          <w:rFonts w:ascii="Arial" w:hAnsi="Arial" w:cs="Arial"/>
          <w:lang w:val="fr-FR"/>
        </w:rPr>
        <w:t>, 2016).</w:t>
      </w:r>
    </w:p>
    <w:p w14:paraId="40488C52" w14:textId="77777777" w:rsidR="00A43803" w:rsidRPr="00B67BEF" w:rsidRDefault="00A43803" w:rsidP="00B67BEF"/>
    <w:p w14:paraId="3A3BF716" w14:textId="58144F42" w:rsidR="00D55FEA" w:rsidRPr="00E43218" w:rsidRDefault="00D55FEA" w:rsidP="00B67BEF">
      <w:pPr>
        <w:pStyle w:val="ListParagraph"/>
        <w:numPr>
          <w:ilvl w:val="0"/>
          <w:numId w:val="25"/>
        </w:numPr>
        <w:tabs>
          <w:tab w:val="left" w:pos="567"/>
        </w:tabs>
        <w:ind w:left="0" w:firstLine="0"/>
        <w:jc w:val="both"/>
        <w:rPr>
          <w:rFonts w:ascii="Arial" w:hAnsi="Arial" w:cs="Arial"/>
          <w:lang w:val="fr-FR"/>
        </w:rPr>
      </w:pPr>
      <w:r w:rsidRPr="00B67BEF">
        <w:rPr>
          <w:rFonts w:ascii="Arial" w:hAnsi="Arial" w:cs="Arial"/>
          <w:lang w:val="fr-FR"/>
        </w:rPr>
        <w:t xml:space="preserve">Avec une armée forte de plus de 352 000 </w:t>
      </w:r>
      <w:r w:rsidR="00FE0F4E" w:rsidRPr="00B67BEF">
        <w:rPr>
          <w:rFonts w:ascii="Arial" w:hAnsi="Arial" w:cs="Arial"/>
          <w:lang w:val="fr-FR"/>
        </w:rPr>
        <w:t>militaires professionnels (TASS(</w:t>
      </w:r>
      <w:r w:rsidR="00776DB7" w:rsidRPr="00B67BEF">
        <w:rPr>
          <w:rFonts w:ascii="Arial" w:hAnsi="Arial" w:cs="Arial"/>
          <w:lang w:val="fr-FR"/>
        </w:rPr>
        <w:t>c</w:t>
      </w:r>
      <w:r w:rsidRPr="00B67BEF">
        <w:rPr>
          <w:rFonts w:ascii="Arial" w:hAnsi="Arial" w:cs="Arial"/>
          <w:lang w:val="fr-FR"/>
        </w:rPr>
        <w:t>)</w:t>
      </w:r>
      <w:r w:rsidR="00B67BEF" w:rsidRPr="00B67BEF">
        <w:rPr>
          <w:rFonts w:ascii="Arial" w:hAnsi="Arial" w:cs="Arial"/>
          <w:lang w:val="fr-FR"/>
        </w:rPr>
        <w:t>, 2015</w:t>
      </w:r>
      <w:r w:rsidR="00FE0F4E" w:rsidRPr="00B67BEF">
        <w:rPr>
          <w:rFonts w:ascii="Arial" w:hAnsi="Arial" w:cs="Arial"/>
          <w:lang w:val="fr-FR"/>
        </w:rPr>
        <w:t>)</w:t>
      </w:r>
      <w:r w:rsidRPr="00B67BEF">
        <w:rPr>
          <w:rFonts w:ascii="Arial" w:hAnsi="Arial" w:cs="Arial"/>
          <w:lang w:val="fr-FR"/>
        </w:rPr>
        <w:t>, la Russie a, pour la première fois, atteint le rapport de deux soldats profes</w:t>
      </w:r>
      <w:r w:rsidR="00A43803" w:rsidRPr="00B67BEF">
        <w:rPr>
          <w:rFonts w:ascii="Arial" w:hAnsi="Arial" w:cs="Arial"/>
          <w:lang w:val="fr-FR"/>
        </w:rPr>
        <w:t>sionnels pour un appelé (Klein, </w:t>
      </w:r>
      <w:r w:rsidRPr="00B67BEF">
        <w:rPr>
          <w:rFonts w:ascii="Arial" w:hAnsi="Arial" w:cs="Arial"/>
          <w:lang w:val="fr-FR"/>
        </w:rPr>
        <w:t xml:space="preserve">2016). </w:t>
      </w:r>
      <w:r w:rsidRPr="00E43218">
        <w:rPr>
          <w:rFonts w:ascii="Arial" w:hAnsi="Arial" w:cs="Arial"/>
          <w:lang w:val="fr-FR"/>
        </w:rPr>
        <w:t xml:space="preserve">Ces professionnels servent principalement dans les forces d’élite, comme les troupes d’assaut aéroportées, les forces d’opérations spéciales et les unités sous-marines. </w:t>
      </w:r>
      <w:r w:rsidRPr="00B67BEF">
        <w:rPr>
          <w:rFonts w:ascii="Arial" w:hAnsi="Arial" w:cs="Arial"/>
          <w:lang w:val="fr-FR"/>
        </w:rPr>
        <w:t>Le nombre de réservistes, en très forte baisse, est passé de 20 millions en 200</w:t>
      </w:r>
      <w:r w:rsidR="00B67BEF" w:rsidRPr="00B67BEF">
        <w:rPr>
          <w:rFonts w:ascii="Arial" w:hAnsi="Arial" w:cs="Arial"/>
          <w:lang w:val="fr-FR"/>
        </w:rPr>
        <w:t>8</w:t>
      </w:r>
      <w:r w:rsidRPr="00B67BEF">
        <w:rPr>
          <w:rFonts w:ascii="Arial" w:hAnsi="Arial" w:cs="Arial"/>
          <w:lang w:val="fr-FR"/>
        </w:rPr>
        <w:t xml:space="preserve"> à 2 millions en 2014. </w:t>
      </w:r>
      <w:r w:rsidRPr="00E43218">
        <w:rPr>
          <w:rFonts w:ascii="Arial" w:hAnsi="Arial" w:cs="Arial"/>
          <w:lang w:val="fr-FR"/>
        </w:rPr>
        <w:t xml:space="preserve">En dépit de cette professionnalisation, les forces armées russes ne pourraient toujours pas fonctionner correctement en l’absence de service obligatoire, </w:t>
      </w:r>
      <w:r w:rsidR="00FE0F4E" w:rsidRPr="00E43218">
        <w:rPr>
          <w:rFonts w:ascii="Arial" w:hAnsi="Arial" w:cs="Arial"/>
          <w:lang w:val="fr-FR"/>
        </w:rPr>
        <w:t>car</w:t>
      </w:r>
      <w:r w:rsidRPr="00E43218">
        <w:rPr>
          <w:rFonts w:ascii="Arial" w:hAnsi="Arial" w:cs="Arial"/>
          <w:lang w:val="fr-FR"/>
        </w:rPr>
        <w:t xml:space="preserve"> les appelés sont chargés de nombreuses fonctions essentielles de soutien et d’autres tâches secondaires (</w:t>
      </w:r>
      <w:r w:rsidR="002F7548" w:rsidRPr="00C24904">
        <w:rPr>
          <w:rFonts w:ascii="Arial" w:hAnsi="Arial" w:cs="Arial"/>
          <w:i/>
          <w:lang w:val="fr-FR"/>
        </w:rPr>
        <w:t xml:space="preserve">International Institute for Strategic </w:t>
      </w:r>
      <w:proofErr w:type="spellStart"/>
      <w:r w:rsidR="002F7548" w:rsidRPr="00C24904">
        <w:rPr>
          <w:rFonts w:ascii="Arial" w:hAnsi="Arial" w:cs="Arial"/>
          <w:i/>
          <w:lang w:val="fr-FR"/>
        </w:rPr>
        <w:t>Studies</w:t>
      </w:r>
      <w:proofErr w:type="spellEnd"/>
      <w:r w:rsidRPr="00E43218">
        <w:rPr>
          <w:rFonts w:ascii="Arial" w:hAnsi="Arial" w:cs="Arial"/>
          <w:lang w:val="fr-FR"/>
        </w:rPr>
        <w:t>, 2016).</w:t>
      </w:r>
    </w:p>
    <w:p w14:paraId="2982E3E8" w14:textId="77777777" w:rsidR="00C02C3A" w:rsidRPr="00B67BEF" w:rsidRDefault="00C02C3A" w:rsidP="00B67BEF"/>
    <w:p w14:paraId="1D6DF7C0" w14:textId="7744F6C9" w:rsidR="00D55FEA" w:rsidRPr="00E43218" w:rsidRDefault="00D55FEA" w:rsidP="00B67BEF">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Des exercices planifiés et des exercices-surprises fréquents permettent de maintenir ces forces modernisées à un niveau de préparation élevé. En 2015, 30 % des exercices militaires menés par la Russie étaient de type interarmées. </w:t>
      </w:r>
      <w:r w:rsidR="00B67BEF" w:rsidRPr="00B67BEF">
        <w:rPr>
          <w:rFonts w:ascii="Arial" w:hAnsi="Arial" w:cs="Arial"/>
          <w:lang w:val="fr-FR"/>
        </w:rPr>
        <w:t xml:space="preserve">Le plus important d’entre eux, </w:t>
      </w:r>
      <w:proofErr w:type="spellStart"/>
      <w:r w:rsidRPr="00B67BEF">
        <w:rPr>
          <w:rFonts w:ascii="Arial" w:hAnsi="Arial" w:cs="Arial"/>
          <w:i/>
          <w:lang w:val="fr-FR"/>
        </w:rPr>
        <w:t>Tsentr</w:t>
      </w:r>
      <w:proofErr w:type="spellEnd"/>
      <w:r w:rsidRPr="00B67BEF">
        <w:rPr>
          <w:rFonts w:ascii="Arial" w:hAnsi="Arial" w:cs="Arial"/>
          <w:i/>
          <w:lang w:val="fr-FR"/>
        </w:rPr>
        <w:t> 2015</w:t>
      </w:r>
      <w:r w:rsidRPr="00B67BEF">
        <w:rPr>
          <w:rFonts w:ascii="Arial" w:hAnsi="Arial" w:cs="Arial"/>
          <w:lang w:val="fr-FR"/>
        </w:rPr>
        <w:t xml:space="preserve"> a réuni environ 95 000 soldats, 7 000 pièces d’équipement et 150 avions de chasse, soit nettement plus que les 9 400 soldats qui avaient participé à la version 2013 de ce même exercice (</w:t>
      </w:r>
      <w:proofErr w:type="spellStart"/>
      <w:r w:rsidRPr="00B67BEF">
        <w:rPr>
          <w:rFonts w:ascii="Arial" w:hAnsi="Arial" w:cs="Arial"/>
          <w:lang w:val="fr-FR"/>
        </w:rPr>
        <w:t>Pro</w:t>
      </w:r>
      <w:r w:rsidR="00A43803" w:rsidRPr="00B67BEF">
        <w:rPr>
          <w:rFonts w:ascii="Arial" w:hAnsi="Arial" w:cs="Arial"/>
          <w:lang w:val="fr-FR"/>
        </w:rPr>
        <w:t>s</w:t>
      </w:r>
      <w:r w:rsidRPr="00B67BEF">
        <w:rPr>
          <w:rFonts w:ascii="Arial" w:hAnsi="Arial" w:cs="Arial"/>
          <w:lang w:val="fr-FR"/>
        </w:rPr>
        <w:t>hkine</w:t>
      </w:r>
      <w:proofErr w:type="spellEnd"/>
      <w:r w:rsidRPr="00B67BEF">
        <w:rPr>
          <w:rFonts w:ascii="Arial" w:hAnsi="Arial" w:cs="Arial"/>
          <w:lang w:val="fr-FR"/>
        </w:rPr>
        <w:t xml:space="preserve">, 2015). </w:t>
      </w:r>
      <w:r w:rsidRPr="00E43218">
        <w:rPr>
          <w:rFonts w:ascii="Arial" w:hAnsi="Arial" w:cs="Arial"/>
          <w:lang w:val="fr-FR"/>
        </w:rPr>
        <w:t xml:space="preserve">Les scénarios d’entraînement portaient aussi bien sur la contre-insurrection et la lutte </w:t>
      </w:r>
      <w:r w:rsidR="00C24904">
        <w:rPr>
          <w:rFonts w:ascii="Arial" w:hAnsi="Arial" w:cs="Arial"/>
          <w:lang w:val="fr-FR"/>
        </w:rPr>
        <w:t xml:space="preserve">contre le </w:t>
      </w:r>
      <w:r w:rsidRPr="00E43218">
        <w:rPr>
          <w:rFonts w:ascii="Arial" w:hAnsi="Arial" w:cs="Arial"/>
          <w:lang w:val="fr-FR"/>
        </w:rPr>
        <w:t>terroris</w:t>
      </w:r>
      <w:r w:rsidR="00C24904">
        <w:rPr>
          <w:rFonts w:ascii="Arial" w:hAnsi="Arial" w:cs="Arial"/>
          <w:lang w:val="fr-FR"/>
        </w:rPr>
        <w:t>m</w:t>
      </w:r>
      <w:r w:rsidRPr="00E43218">
        <w:rPr>
          <w:rFonts w:ascii="Arial" w:hAnsi="Arial" w:cs="Arial"/>
          <w:lang w:val="fr-FR"/>
        </w:rPr>
        <w:t>e que sur les débarquements amphibies et aéroportés à l’appui d’attaques aériennes et terrestres conventionnelles de grande envergure. Le renforcement de la mobilité stratégique, l’amélioration du commandement et du contrôle et le renforcement de la puissance de feu ont reçu une attention particulière (Klein, 2016).</w:t>
      </w:r>
    </w:p>
    <w:p w14:paraId="1EC64AA2" w14:textId="77777777" w:rsidR="00C02C3A" w:rsidRPr="00B67BEF" w:rsidRDefault="00C02C3A" w:rsidP="00B67BEF"/>
    <w:p w14:paraId="3829E013" w14:textId="2B9DD0A1" w:rsidR="00D55FEA" w:rsidRPr="00B67BEF" w:rsidRDefault="00D55FEA" w:rsidP="00B67BEF">
      <w:pPr>
        <w:pStyle w:val="ListParagraph"/>
        <w:numPr>
          <w:ilvl w:val="0"/>
          <w:numId w:val="25"/>
        </w:numPr>
        <w:tabs>
          <w:tab w:val="left" w:pos="567"/>
        </w:tabs>
        <w:ind w:left="0" w:firstLine="0"/>
        <w:jc w:val="both"/>
        <w:rPr>
          <w:rFonts w:ascii="Arial" w:hAnsi="Arial" w:cs="Arial"/>
        </w:rPr>
      </w:pPr>
      <w:r w:rsidRPr="00E43218">
        <w:rPr>
          <w:rFonts w:ascii="Arial" w:hAnsi="Arial" w:cs="Arial"/>
          <w:lang w:val="fr-FR"/>
        </w:rPr>
        <w:t xml:space="preserve">Plusieurs dizaines d’exercices nationaux de grande envergure associant différents types de forces sont planifiés tout au long de l’année 2016. </w:t>
      </w:r>
      <w:r w:rsidR="00F96463">
        <w:rPr>
          <w:rFonts w:ascii="Arial" w:hAnsi="Arial" w:cs="Arial"/>
          <w:lang w:val="fr-FR"/>
        </w:rPr>
        <w:t xml:space="preserve">Le plus important d’entre eux, </w:t>
      </w:r>
      <w:proofErr w:type="spellStart"/>
      <w:r w:rsidRPr="002A3B19">
        <w:rPr>
          <w:rFonts w:ascii="Arial" w:hAnsi="Arial" w:cs="Arial"/>
          <w:i/>
          <w:lang w:val="fr-FR"/>
        </w:rPr>
        <w:t>Kavkaz</w:t>
      </w:r>
      <w:proofErr w:type="spellEnd"/>
      <w:r w:rsidR="00F96463">
        <w:rPr>
          <w:rFonts w:ascii="Arial" w:hAnsi="Arial" w:cs="Arial"/>
          <w:lang w:val="fr-FR"/>
        </w:rPr>
        <w:t> </w:t>
      </w:r>
      <w:r w:rsidRPr="002A3B19">
        <w:rPr>
          <w:rFonts w:ascii="Arial" w:hAnsi="Arial" w:cs="Arial"/>
          <w:lang w:val="fr-FR"/>
        </w:rPr>
        <w:t xml:space="preserve">(Caucase), </w:t>
      </w:r>
      <w:r w:rsidR="002A3B19" w:rsidRPr="002A3B19">
        <w:rPr>
          <w:rFonts w:ascii="Arial" w:hAnsi="Arial" w:cs="Arial"/>
          <w:lang w:val="fr-FR"/>
        </w:rPr>
        <w:t xml:space="preserve">a eu </w:t>
      </w:r>
      <w:r w:rsidRPr="002A3B19">
        <w:rPr>
          <w:rFonts w:ascii="Arial" w:hAnsi="Arial" w:cs="Arial"/>
          <w:lang w:val="fr-FR"/>
        </w:rPr>
        <w:t>lieu en septembre 2016</w:t>
      </w:r>
      <w:r w:rsidR="00C24904">
        <w:rPr>
          <w:rFonts w:ascii="Arial" w:hAnsi="Arial" w:cs="Arial"/>
          <w:lang w:val="fr-FR"/>
        </w:rPr>
        <w:t xml:space="preserve"> </w:t>
      </w:r>
      <w:r w:rsidR="00C24904" w:rsidRPr="002A3B19">
        <w:rPr>
          <w:rFonts w:ascii="Arial" w:hAnsi="Arial" w:cs="Arial"/>
          <w:lang w:val="fr-FR"/>
        </w:rPr>
        <w:t>(plus de 120 000 personnes militaires et civils ont pris part à l'exercice)</w:t>
      </w:r>
      <w:r w:rsidRPr="002A3B19">
        <w:rPr>
          <w:rFonts w:ascii="Arial" w:hAnsi="Arial" w:cs="Arial"/>
          <w:lang w:val="fr-FR"/>
        </w:rPr>
        <w:t xml:space="preserve">. Il aura pour objectif de tester l’aptitude de forces </w:t>
      </w:r>
      <w:r w:rsidR="002A3B19" w:rsidRPr="002A3B19">
        <w:rPr>
          <w:rFonts w:ascii="Arial" w:hAnsi="Arial" w:cs="Arial"/>
          <w:lang w:val="fr-FR"/>
        </w:rPr>
        <w:t>inter</w:t>
      </w:r>
      <w:r w:rsidRPr="002A3B19">
        <w:rPr>
          <w:rFonts w:ascii="Arial" w:hAnsi="Arial" w:cs="Arial"/>
          <w:lang w:val="fr-FR"/>
        </w:rPr>
        <w:t>armées à opérer et à se déplacer rapidement sur de longues distances dans un environnement disputé (</w:t>
      </w:r>
      <w:proofErr w:type="spellStart"/>
      <w:r w:rsidRPr="002A3B19">
        <w:rPr>
          <w:rFonts w:ascii="Arial" w:hAnsi="Arial" w:cs="Arial"/>
          <w:lang w:val="fr-FR"/>
        </w:rPr>
        <w:t>Pro</w:t>
      </w:r>
      <w:r w:rsidR="00A43803" w:rsidRPr="002A3B19">
        <w:rPr>
          <w:rFonts w:ascii="Arial" w:hAnsi="Arial" w:cs="Arial"/>
          <w:lang w:val="fr-FR"/>
        </w:rPr>
        <w:t>s</w:t>
      </w:r>
      <w:r w:rsidRPr="002A3B19">
        <w:rPr>
          <w:rFonts w:ascii="Arial" w:hAnsi="Arial" w:cs="Arial"/>
          <w:lang w:val="fr-FR"/>
        </w:rPr>
        <w:t>hkine</w:t>
      </w:r>
      <w:proofErr w:type="spellEnd"/>
      <w:r w:rsidRPr="002A3B19">
        <w:rPr>
          <w:rFonts w:ascii="Arial" w:hAnsi="Arial" w:cs="Arial"/>
          <w:lang w:val="fr-FR"/>
        </w:rPr>
        <w:t>, 2015). La Russie va par ailleurs organiser toute une série d’exercices interna</w:t>
      </w:r>
      <w:r w:rsidR="002A3B19" w:rsidRPr="002A3B19">
        <w:rPr>
          <w:rFonts w:ascii="Arial" w:hAnsi="Arial" w:cs="Arial"/>
          <w:lang w:val="fr-FR"/>
        </w:rPr>
        <w:t>tionaux avec l’Organisation du t</w:t>
      </w:r>
      <w:r w:rsidRPr="002A3B19">
        <w:rPr>
          <w:rFonts w:ascii="Arial" w:hAnsi="Arial" w:cs="Arial"/>
          <w:lang w:val="fr-FR"/>
        </w:rPr>
        <w:t xml:space="preserve">raité de sécurité collective et l’Organisation de coopération de </w:t>
      </w:r>
      <w:proofErr w:type="spellStart"/>
      <w:r w:rsidRPr="002A3B19">
        <w:rPr>
          <w:rFonts w:ascii="Arial" w:hAnsi="Arial" w:cs="Arial"/>
          <w:lang w:val="fr-FR"/>
        </w:rPr>
        <w:t>Shangaï</w:t>
      </w:r>
      <w:proofErr w:type="spellEnd"/>
      <w:r w:rsidRPr="002A3B19">
        <w:rPr>
          <w:rFonts w:ascii="Arial" w:hAnsi="Arial" w:cs="Arial"/>
          <w:lang w:val="fr-FR"/>
        </w:rPr>
        <w:t xml:space="preserve">, ainsi que des exercices bilatéraux avec des pays comme l’Inde, le Pakistan et le Vietnam. </w:t>
      </w:r>
      <w:proofErr w:type="spellStart"/>
      <w:r w:rsidRPr="00B67BEF">
        <w:rPr>
          <w:rFonts w:ascii="Arial" w:hAnsi="Arial" w:cs="Arial"/>
        </w:rPr>
        <w:t>Enfin</w:t>
      </w:r>
      <w:proofErr w:type="spellEnd"/>
      <w:r w:rsidRPr="00B67BEF">
        <w:rPr>
          <w:rFonts w:ascii="Arial" w:hAnsi="Arial" w:cs="Arial"/>
        </w:rPr>
        <w:t xml:space="preserve">, la </w:t>
      </w:r>
      <w:proofErr w:type="spellStart"/>
      <w:r w:rsidRPr="00B67BEF">
        <w:rPr>
          <w:rFonts w:ascii="Arial" w:hAnsi="Arial" w:cs="Arial"/>
        </w:rPr>
        <w:t>pratique</w:t>
      </w:r>
      <w:proofErr w:type="spellEnd"/>
      <w:r w:rsidRPr="00B67BEF">
        <w:rPr>
          <w:rFonts w:ascii="Arial" w:hAnsi="Arial" w:cs="Arial"/>
        </w:rPr>
        <w:t xml:space="preserve"> des </w:t>
      </w:r>
      <w:proofErr w:type="spellStart"/>
      <w:r w:rsidRPr="00B67BEF">
        <w:rPr>
          <w:rFonts w:ascii="Arial" w:hAnsi="Arial" w:cs="Arial"/>
        </w:rPr>
        <w:t>exercices</w:t>
      </w:r>
      <w:proofErr w:type="spellEnd"/>
      <w:r w:rsidRPr="00B67BEF">
        <w:rPr>
          <w:rFonts w:ascii="Arial" w:hAnsi="Arial" w:cs="Arial"/>
        </w:rPr>
        <w:t xml:space="preserve">-surprises sera </w:t>
      </w:r>
      <w:proofErr w:type="spellStart"/>
      <w:r w:rsidRPr="00B67BEF">
        <w:rPr>
          <w:rFonts w:ascii="Arial" w:hAnsi="Arial" w:cs="Arial"/>
        </w:rPr>
        <w:t>maintenue</w:t>
      </w:r>
      <w:proofErr w:type="spellEnd"/>
      <w:r w:rsidRPr="00B67BEF">
        <w:rPr>
          <w:rFonts w:ascii="Arial" w:hAnsi="Arial" w:cs="Arial"/>
        </w:rPr>
        <w:t xml:space="preserve"> </w:t>
      </w:r>
      <w:proofErr w:type="spellStart"/>
      <w:r w:rsidRPr="00B67BEF">
        <w:rPr>
          <w:rFonts w:ascii="Arial" w:hAnsi="Arial" w:cs="Arial"/>
        </w:rPr>
        <w:t>en</w:t>
      </w:r>
      <w:proofErr w:type="spellEnd"/>
      <w:r w:rsidRPr="00B67BEF">
        <w:rPr>
          <w:rFonts w:ascii="Arial" w:hAnsi="Arial" w:cs="Arial"/>
        </w:rPr>
        <w:t xml:space="preserve"> 2016.</w:t>
      </w:r>
    </w:p>
    <w:p w14:paraId="37A883FF" w14:textId="77777777" w:rsidR="00C90D91" w:rsidRPr="00873F20" w:rsidRDefault="00C90D91" w:rsidP="00C90D91"/>
    <w:p w14:paraId="56DCA1A1" w14:textId="2BA1612B" w:rsidR="00C90D91" w:rsidRPr="00873F20" w:rsidRDefault="00C90D91" w:rsidP="00C90D91">
      <w:pPr>
        <w:rPr>
          <w:b/>
        </w:rPr>
      </w:pPr>
      <w:r w:rsidRPr="00873F20">
        <w:rPr>
          <w:b/>
        </w:rPr>
        <w:tab/>
        <w:t>D.</w:t>
      </w:r>
      <w:r w:rsidRPr="00873F20">
        <w:rPr>
          <w:b/>
        </w:rPr>
        <w:tab/>
        <w:t>LES BULLES A2/AD ET LES RÉPONSES DU SOMMET DE VARSOVIE</w:t>
      </w:r>
    </w:p>
    <w:p w14:paraId="2981F71D" w14:textId="77777777" w:rsidR="00C90D91" w:rsidRPr="00873F20" w:rsidRDefault="00C90D91" w:rsidP="00C90D91">
      <w:pPr>
        <w:rPr>
          <w:b/>
        </w:rPr>
      </w:pPr>
    </w:p>
    <w:p w14:paraId="79F1E069" w14:textId="77153297" w:rsidR="00C90D91" w:rsidRPr="00E43218" w:rsidRDefault="00FE0F4E"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Afin </w:t>
      </w:r>
      <w:r w:rsidR="00F103E6" w:rsidRPr="00E43218">
        <w:rPr>
          <w:rFonts w:ascii="Arial" w:hAnsi="Arial" w:cs="Arial"/>
          <w:lang w:val="fr-FR"/>
        </w:rPr>
        <w:t xml:space="preserve">d’entraver la liberté de mouvement des forces de l’OTAN sur le flanc </w:t>
      </w:r>
      <w:r w:rsidR="002A3B19" w:rsidRPr="00E43218">
        <w:rPr>
          <w:rFonts w:ascii="Arial" w:hAnsi="Arial" w:cs="Arial"/>
          <w:lang w:val="fr-FR"/>
        </w:rPr>
        <w:t>e</w:t>
      </w:r>
      <w:r w:rsidR="00F103E6" w:rsidRPr="00E43218">
        <w:rPr>
          <w:rFonts w:ascii="Arial" w:hAnsi="Arial" w:cs="Arial"/>
          <w:lang w:val="fr-FR"/>
        </w:rPr>
        <w:t>st de l’Alliance</w:t>
      </w:r>
      <w:r w:rsidRPr="00E43218">
        <w:rPr>
          <w:rFonts w:ascii="Arial" w:hAnsi="Arial" w:cs="Arial"/>
          <w:lang w:val="fr-FR"/>
        </w:rPr>
        <w:t xml:space="preserve">, la Russie </w:t>
      </w:r>
      <w:proofErr w:type="spellStart"/>
      <w:r w:rsidRPr="00E43218">
        <w:rPr>
          <w:rFonts w:ascii="Arial" w:hAnsi="Arial" w:cs="Arial"/>
          <w:lang w:val="fr-FR"/>
        </w:rPr>
        <w:t>maintient</w:t>
      </w:r>
      <w:proofErr w:type="spellEnd"/>
      <w:r w:rsidR="00F103E6" w:rsidRPr="00E43218">
        <w:rPr>
          <w:rFonts w:ascii="Arial" w:hAnsi="Arial" w:cs="Arial"/>
          <w:lang w:val="fr-FR"/>
        </w:rPr>
        <w:t xml:space="preserve"> </w:t>
      </w:r>
      <w:r w:rsidRPr="00E43218">
        <w:rPr>
          <w:rFonts w:ascii="Arial" w:hAnsi="Arial" w:cs="Arial"/>
          <w:lang w:val="fr-FR"/>
        </w:rPr>
        <w:t xml:space="preserve">de vastes </w:t>
      </w:r>
      <w:r w:rsidR="00A75877" w:rsidRPr="00E43218">
        <w:rPr>
          <w:rFonts w:ascii="Arial" w:hAnsi="Arial" w:cs="Arial"/>
          <w:lang w:val="fr-FR"/>
        </w:rPr>
        <w:t xml:space="preserve">zones, ou « bulles », </w:t>
      </w:r>
      <w:r w:rsidR="00F103E6" w:rsidRPr="00E43218">
        <w:rPr>
          <w:rFonts w:ascii="Arial" w:hAnsi="Arial" w:cs="Arial"/>
          <w:lang w:val="fr-FR"/>
        </w:rPr>
        <w:t>d</w:t>
      </w:r>
      <w:r w:rsidR="00ED73B8">
        <w:rPr>
          <w:rFonts w:ascii="Arial" w:hAnsi="Arial" w:cs="Arial"/>
          <w:lang w:val="fr-FR"/>
        </w:rPr>
        <w:t>e déni d’accès et d</w:t>
      </w:r>
      <w:r w:rsidR="00F103E6" w:rsidRPr="00E43218">
        <w:rPr>
          <w:rFonts w:ascii="Arial" w:hAnsi="Arial" w:cs="Arial"/>
          <w:lang w:val="fr-FR"/>
        </w:rPr>
        <w:t>’interdiction de zone autour des pays baltes, de la mer Noire, de la Méditerranée orientale et de l’Arctique. Grâce à ces bulles A2/AD, Moscou est en mesure de restreindre l’accès aérien, terrestre et maritime à ces régions. Dans le communiqué du sommet de Varsovie, l’OTAN exprime sa préoccupation face à cette évolution, et déclare qu’elle ne peut accepter qu’un adversaire potentiel empêche ou limite la capacité des forces terrestres, aériennes et navales d</w:t>
      </w:r>
      <w:r w:rsidR="004F3B9A" w:rsidRPr="00E43218">
        <w:rPr>
          <w:rFonts w:ascii="Arial" w:hAnsi="Arial" w:cs="Arial"/>
          <w:lang w:val="fr-FR"/>
        </w:rPr>
        <w:t xml:space="preserve">e l’Alliance de se diriger vers, ou de se déplacer dans, </w:t>
      </w:r>
      <w:r w:rsidR="00F103E6" w:rsidRPr="00E43218">
        <w:rPr>
          <w:rFonts w:ascii="Arial" w:hAnsi="Arial" w:cs="Arial"/>
          <w:lang w:val="fr-FR"/>
        </w:rPr>
        <w:t>n’importe quelle partie du territoire de l’Alliance (NATO(a), 2016).</w:t>
      </w:r>
    </w:p>
    <w:p w14:paraId="21715175" w14:textId="77777777" w:rsidR="00F103E6" w:rsidRPr="00C8401C" w:rsidRDefault="00F103E6" w:rsidP="00C8401C"/>
    <w:p w14:paraId="134EA802" w14:textId="2930A940" w:rsidR="00F103E6" w:rsidRPr="00E43218" w:rsidRDefault="00F103E6" w:rsidP="00FC6E48">
      <w:pPr>
        <w:pStyle w:val="ListParagraph"/>
        <w:keepNext/>
        <w:keepLines/>
        <w:numPr>
          <w:ilvl w:val="0"/>
          <w:numId w:val="25"/>
        </w:numPr>
        <w:tabs>
          <w:tab w:val="left" w:pos="567"/>
        </w:tabs>
        <w:ind w:left="0" w:firstLine="0"/>
        <w:jc w:val="both"/>
        <w:rPr>
          <w:rFonts w:ascii="Arial" w:hAnsi="Arial" w:cs="Arial"/>
          <w:lang w:val="fr-FR"/>
        </w:rPr>
      </w:pPr>
      <w:r w:rsidRPr="00E43218">
        <w:rPr>
          <w:rFonts w:ascii="Arial" w:hAnsi="Arial" w:cs="Arial"/>
          <w:lang w:val="fr-FR"/>
        </w:rPr>
        <w:t>Les zones d’exclusion A2/AD mises en place par la Russie se répartissent géographiquement comme suit :</w:t>
      </w:r>
    </w:p>
    <w:p w14:paraId="746D20A3" w14:textId="77777777" w:rsidR="00F103E6" w:rsidRPr="00873F20" w:rsidRDefault="00F103E6" w:rsidP="00FC6E48">
      <w:pPr>
        <w:keepNext/>
        <w:keepLines/>
      </w:pPr>
    </w:p>
    <w:p w14:paraId="198A0733" w14:textId="10A96074" w:rsidR="00F103E6" w:rsidRPr="00873F20" w:rsidRDefault="00A44263" w:rsidP="00FC6E48">
      <w:pPr>
        <w:pStyle w:val="ListParagraph"/>
        <w:keepNext/>
        <w:keepLines/>
        <w:numPr>
          <w:ilvl w:val="0"/>
          <w:numId w:val="23"/>
        </w:numPr>
        <w:jc w:val="both"/>
        <w:rPr>
          <w:rFonts w:ascii="Arial" w:eastAsia="Times New Roman" w:hAnsi="Arial" w:cs="Arial"/>
          <w:lang w:val="fr-FR"/>
        </w:rPr>
      </w:pPr>
      <w:r w:rsidRPr="00873F20">
        <w:rPr>
          <w:rFonts w:ascii="Arial" w:eastAsia="Times New Roman" w:hAnsi="Arial" w:cs="Arial"/>
          <w:lang w:val="fr-FR"/>
        </w:rPr>
        <w:t xml:space="preserve">C’est dans la </w:t>
      </w:r>
      <w:r w:rsidRPr="00873F20">
        <w:rPr>
          <w:rFonts w:ascii="Arial" w:eastAsia="Times New Roman" w:hAnsi="Arial" w:cs="Arial"/>
          <w:b/>
          <w:lang w:val="fr-FR"/>
        </w:rPr>
        <w:t>région de la Baltique</w:t>
      </w:r>
      <w:r w:rsidRPr="00873F20">
        <w:rPr>
          <w:rFonts w:ascii="Arial" w:eastAsia="Times New Roman" w:hAnsi="Arial" w:cs="Arial"/>
          <w:lang w:val="fr-FR"/>
        </w:rPr>
        <w:t xml:space="preserve"> – et plus particulièrement </w:t>
      </w:r>
      <w:r w:rsidR="00ED73B8">
        <w:rPr>
          <w:rFonts w:ascii="Arial" w:eastAsia="Times New Roman" w:hAnsi="Arial" w:cs="Arial"/>
          <w:lang w:val="fr-FR"/>
        </w:rPr>
        <w:t>aux alentours</w:t>
      </w:r>
      <w:r w:rsidRPr="00873F20">
        <w:rPr>
          <w:rFonts w:ascii="Arial" w:eastAsia="Times New Roman" w:hAnsi="Arial" w:cs="Arial"/>
          <w:lang w:val="fr-FR"/>
        </w:rPr>
        <w:t xml:space="preserve"> de la Lituanie, de la Lettonie et de l’Estonie via la Pologne – que la Russie remet le plus </w:t>
      </w:r>
      <w:r w:rsidR="0038588C" w:rsidRPr="00873F20">
        <w:rPr>
          <w:rFonts w:ascii="Arial" w:eastAsia="Times New Roman" w:hAnsi="Arial" w:cs="Arial"/>
          <w:lang w:val="fr-FR"/>
        </w:rPr>
        <w:t>gravement</w:t>
      </w:r>
      <w:r w:rsidRPr="00873F20">
        <w:rPr>
          <w:rFonts w:ascii="Arial" w:eastAsia="Times New Roman" w:hAnsi="Arial" w:cs="Arial"/>
          <w:lang w:val="fr-FR"/>
        </w:rPr>
        <w:t xml:space="preserve"> en question la liberté de mouvement des forces de l’OTAN (Jones, 2016). L’empreinte relativement légère de l’OTAN dans cette région ainsi que l’isolement géographique des États baltes accentuent encore cette menace. </w:t>
      </w:r>
      <w:r w:rsidR="00A75877" w:rsidRPr="00873F20">
        <w:rPr>
          <w:rFonts w:ascii="Arial" w:eastAsia="Times New Roman" w:hAnsi="Arial" w:cs="Arial"/>
          <w:lang w:val="fr-FR"/>
        </w:rPr>
        <w:t>Comme l</w:t>
      </w:r>
      <w:r w:rsidRPr="00873F20">
        <w:rPr>
          <w:rFonts w:ascii="Arial" w:eastAsia="Times New Roman" w:hAnsi="Arial" w:cs="Arial"/>
          <w:lang w:val="fr-FR"/>
        </w:rPr>
        <w:t>’OTAN n</w:t>
      </w:r>
      <w:r w:rsidR="00A75877" w:rsidRPr="00873F20">
        <w:rPr>
          <w:rFonts w:ascii="Arial" w:eastAsia="Times New Roman" w:hAnsi="Arial" w:cs="Arial"/>
          <w:lang w:val="fr-FR"/>
        </w:rPr>
        <w:t xml:space="preserve">e dispose </w:t>
      </w:r>
      <w:r w:rsidRPr="00873F20">
        <w:rPr>
          <w:rFonts w:ascii="Arial" w:eastAsia="Times New Roman" w:hAnsi="Arial" w:cs="Arial"/>
          <w:lang w:val="fr-FR"/>
        </w:rPr>
        <w:t xml:space="preserve">pas, à l’est de l’Allemagne, </w:t>
      </w:r>
      <w:r w:rsidR="00ED73B8">
        <w:rPr>
          <w:rFonts w:ascii="Arial" w:eastAsia="Times New Roman" w:hAnsi="Arial" w:cs="Arial"/>
          <w:lang w:val="fr-FR"/>
        </w:rPr>
        <w:t>de forces à</w:t>
      </w:r>
      <w:r w:rsidR="00ED73B8" w:rsidRPr="00873F20">
        <w:rPr>
          <w:rFonts w:ascii="Arial" w:eastAsia="Times New Roman" w:hAnsi="Arial" w:cs="Arial"/>
          <w:lang w:val="fr-FR"/>
        </w:rPr>
        <w:t xml:space="preserve"> l’avant </w:t>
      </w:r>
      <w:r w:rsidR="00ED73B8">
        <w:rPr>
          <w:rFonts w:ascii="Arial" w:eastAsia="Times New Roman" w:hAnsi="Arial" w:cs="Arial"/>
          <w:lang w:val="fr-FR"/>
        </w:rPr>
        <w:t xml:space="preserve">et </w:t>
      </w:r>
      <w:r w:rsidRPr="00873F20">
        <w:rPr>
          <w:rFonts w:ascii="Arial" w:eastAsia="Times New Roman" w:hAnsi="Arial" w:cs="Arial"/>
          <w:lang w:val="fr-FR"/>
        </w:rPr>
        <w:t xml:space="preserve">de stocks </w:t>
      </w:r>
      <w:proofErr w:type="spellStart"/>
      <w:r w:rsidRPr="00873F20">
        <w:rPr>
          <w:rFonts w:ascii="Arial" w:eastAsia="Times New Roman" w:hAnsi="Arial" w:cs="Arial"/>
          <w:lang w:val="fr-FR"/>
        </w:rPr>
        <w:t>prépositionnés</w:t>
      </w:r>
      <w:proofErr w:type="spellEnd"/>
      <w:r w:rsidRPr="00873F20">
        <w:rPr>
          <w:rFonts w:ascii="Arial" w:eastAsia="Times New Roman" w:hAnsi="Arial" w:cs="Arial"/>
          <w:lang w:val="fr-FR"/>
        </w:rPr>
        <w:t xml:space="preserve"> significatifs, </w:t>
      </w:r>
      <w:r w:rsidR="00A75877" w:rsidRPr="00873F20">
        <w:rPr>
          <w:rFonts w:ascii="Arial" w:eastAsia="Times New Roman" w:hAnsi="Arial" w:cs="Arial"/>
          <w:lang w:val="fr-FR"/>
        </w:rPr>
        <w:t xml:space="preserve">elle </w:t>
      </w:r>
      <w:proofErr w:type="gramStart"/>
      <w:r w:rsidR="0082287A" w:rsidRPr="00873F20">
        <w:rPr>
          <w:rFonts w:ascii="Arial" w:eastAsia="Times New Roman" w:hAnsi="Arial" w:cs="Arial"/>
          <w:lang w:val="fr-FR"/>
        </w:rPr>
        <w:t>éprouverait  des</w:t>
      </w:r>
      <w:proofErr w:type="gramEnd"/>
      <w:r w:rsidR="0082287A" w:rsidRPr="00873F20">
        <w:rPr>
          <w:rFonts w:ascii="Arial" w:eastAsia="Times New Roman" w:hAnsi="Arial" w:cs="Arial"/>
          <w:lang w:val="fr-FR"/>
        </w:rPr>
        <w:t xml:space="preserve"> difficultés, </w:t>
      </w:r>
      <w:r w:rsidR="00FE0F4E" w:rsidRPr="00873F20">
        <w:rPr>
          <w:rFonts w:ascii="Arial" w:eastAsia="Times New Roman" w:hAnsi="Arial" w:cs="Arial"/>
          <w:lang w:val="fr-FR"/>
        </w:rPr>
        <w:t>face au</w:t>
      </w:r>
      <w:r w:rsidR="00A75877" w:rsidRPr="00873F20">
        <w:rPr>
          <w:rFonts w:ascii="Arial" w:eastAsia="Times New Roman" w:hAnsi="Arial" w:cs="Arial"/>
          <w:lang w:val="fr-FR"/>
        </w:rPr>
        <w:t xml:space="preserve">x capacités A2/AD </w:t>
      </w:r>
      <w:r w:rsidR="00064698" w:rsidRPr="00873F20">
        <w:rPr>
          <w:rFonts w:ascii="Arial" w:eastAsia="Times New Roman" w:hAnsi="Arial" w:cs="Arial"/>
          <w:lang w:val="fr-FR"/>
        </w:rPr>
        <w:t>regroup</w:t>
      </w:r>
      <w:r w:rsidR="00A75877" w:rsidRPr="00873F20">
        <w:rPr>
          <w:rFonts w:ascii="Arial" w:eastAsia="Times New Roman" w:hAnsi="Arial" w:cs="Arial"/>
          <w:lang w:val="fr-FR"/>
        </w:rPr>
        <w:t xml:space="preserve">ées par </w:t>
      </w:r>
      <w:r w:rsidRPr="00873F20">
        <w:rPr>
          <w:rFonts w:ascii="Arial" w:eastAsia="Times New Roman" w:hAnsi="Arial" w:cs="Arial"/>
          <w:lang w:val="fr-FR"/>
        </w:rPr>
        <w:t>Moscou</w:t>
      </w:r>
      <w:r w:rsidR="00064698" w:rsidRPr="00873F20">
        <w:rPr>
          <w:rFonts w:ascii="Arial" w:eastAsia="Times New Roman" w:hAnsi="Arial" w:cs="Arial"/>
          <w:lang w:val="fr-FR"/>
        </w:rPr>
        <w:t xml:space="preserve"> </w:t>
      </w:r>
      <w:r w:rsidRPr="00873F20">
        <w:rPr>
          <w:rFonts w:ascii="Arial" w:eastAsia="Times New Roman" w:hAnsi="Arial" w:cs="Arial"/>
          <w:lang w:val="fr-FR"/>
        </w:rPr>
        <w:t>dans son</w:t>
      </w:r>
      <w:r w:rsidR="00A75877" w:rsidRPr="00873F20">
        <w:rPr>
          <w:rFonts w:ascii="Arial" w:eastAsia="Times New Roman" w:hAnsi="Arial" w:cs="Arial"/>
          <w:lang w:val="fr-FR"/>
        </w:rPr>
        <w:t xml:space="preserve"> district militaire occidental ainsi qu’</w:t>
      </w:r>
      <w:r w:rsidRPr="00873F20">
        <w:rPr>
          <w:rFonts w:ascii="Arial" w:eastAsia="Times New Roman" w:hAnsi="Arial" w:cs="Arial"/>
          <w:lang w:val="fr-FR"/>
        </w:rPr>
        <w:t>à Kaliningrad, au Belarus et en mer Baltique</w:t>
      </w:r>
      <w:r w:rsidR="0082287A" w:rsidRPr="00873F20">
        <w:rPr>
          <w:rFonts w:ascii="Arial" w:eastAsia="Times New Roman" w:hAnsi="Arial" w:cs="Arial"/>
          <w:lang w:val="fr-FR"/>
        </w:rPr>
        <w:t xml:space="preserve">, à renforcer les États baltes suffisamment vite </w:t>
      </w:r>
      <w:r w:rsidR="00964093" w:rsidRPr="00873F20">
        <w:rPr>
          <w:rFonts w:ascii="Arial" w:eastAsia="Times New Roman" w:hAnsi="Arial" w:cs="Arial"/>
          <w:lang w:val="fr-FR"/>
        </w:rPr>
        <w:t>(nota</w:t>
      </w:r>
      <w:r w:rsidR="002A3B19">
        <w:rPr>
          <w:rFonts w:ascii="Arial" w:eastAsia="Times New Roman" w:hAnsi="Arial" w:cs="Arial"/>
          <w:lang w:val="fr-FR"/>
        </w:rPr>
        <w:t xml:space="preserve">mment par l’étroite trouée de </w:t>
      </w:r>
      <w:proofErr w:type="spellStart"/>
      <w:r w:rsidR="002A3B19">
        <w:rPr>
          <w:rFonts w:ascii="Arial" w:eastAsia="Times New Roman" w:hAnsi="Arial" w:cs="Arial"/>
          <w:lang w:val="fr-FR"/>
        </w:rPr>
        <w:t>S</w:t>
      </w:r>
      <w:r w:rsidR="00964093" w:rsidRPr="00873F20">
        <w:rPr>
          <w:rFonts w:ascii="Arial" w:eastAsia="Times New Roman" w:hAnsi="Arial" w:cs="Arial"/>
          <w:lang w:val="fr-FR"/>
        </w:rPr>
        <w:t>uwalki</w:t>
      </w:r>
      <w:proofErr w:type="spellEnd"/>
      <w:r w:rsidR="00964093" w:rsidRPr="00873F20">
        <w:rPr>
          <w:rFonts w:ascii="Arial" w:eastAsia="Times New Roman" w:hAnsi="Arial" w:cs="Arial"/>
          <w:lang w:val="fr-FR"/>
        </w:rPr>
        <w:t xml:space="preserve">, entre Kaliningrad et le Belarus) </w:t>
      </w:r>
      <w:r w:rsidR="0038588C" w:rsidRPr="00873F20">
        <w:rPr>
          <w:rFonts w:ascii="Arial" w:eastAsia="Times New Roman" w:hAnsi="Arial" w:cs="Arial"/>
          <w:lang w:val="fr-FR"/>
        </w:rPr>
        <w:t>pour empêcher une victoir</w:t>
      </w:r>
      <w:r w:rsidR="0082287A" w:rsidRPr="00873F20">
        <w:rPr>
          <w:rFonts w:ascii="Arial" w:eastAsia="Times New Roman" w:hAnsi="Arial" w:cs="Arial"/>
          <w:lang w:val="fr-FR"/>
        </w:rPr>
        <w:t>e rapide de la Russie.</w:t>
      </w:r>
    </w:p>
    <w:p w14:paraId="69198084" w14:textId="77777777" w:rsidR="00C90D91" w:rsidRPr="00873F20" w:rsidRDefault="00C90D91" w:rsidP="005D5967"/>
    <w:p w14:paraId="21129752" w14:textId="31E841E3" w:rsidR="00064698" w:rsidRPr="00873F20" w:rsidRDefault="00064698" w:rsidP="00825AB9">
      <w:pPr>
        <w:pStyle w:val="ListParagraph"/>
        <w:numPr>
          <w:ilvl w:val="0"/>
          <w:numId w:val="23"/>
        </w:numPr>
        <w:jc w:val="both"/>
        <w:rPr>
          <w:rFonts w:ascii="Arial" w:eastAsia="Times New Roman" w:hAnsi="Arial" w:cs="Arial"/>
          <w:lang w:val="fr-FR"/>
        </w:rPr>
      </w:pPr>
      <w:r w:rsidRPr="00873F20">
        <w:rPr>
          <w:rFonts w:ascii="Arial" w:eastAsia="Times New Roman" w:hAnsi="Arial" w:cs="Arial"/>
          <w:lang w:val="fr-FR"/>
        </w:rPr>
        <w:t>Bien que relativement vulnérable en tant que telle, Kaliningrad est fortement militarisée. L’enclave dispose de radars côtiers pouvant être reliés à des batteries mobiles de missiles antinavires K-300P Bastion-P ba</w:t>
      </w:r>
      <w:r w:rsidR="004F3B9A" w:rsidRPr="00873F20">
        <w:rPr>
          <w:rFonts w:ascii="Arial" w:eastAsia="Times New Roman" w:hAnsi="Arial" w:cs="Arial"/>
          <w:lang w:val="fr-FR"/>
        </w:rPr>
        <w:t xml:space="preserve">sées à terre, qui sont </w:t>
      </w:r>
      <w:r w:rsidR="00FE0F4E" w:rsidRPr="00873F20">
        <w:rPr>
          <w:rFonts w:ascii="Arial" w:eastAsia="Times New Roman" w:hAnsi="Arial" w:cs="Arial"/>
          <w:lang w:val="fr-FR"/>
        </w:rPr>
        <w:t>éq</w:t>
      </w:r>
      <w:r w:rsidR="00063C39" w:rsidRPr="00873F20">
        <w:rPr>
          <w:rFonts w:ascii="Arial" w:eastAsia="Times New Roman" w:hAnsi="Arial" w:cs="Arial"/>
          <w:lang w:val="fr-FR"/>
        </w:rPr>
        <w:t>u</w:t>
      </w:r>
      <w:r w:rsidR="00FE0F4E" w:rsidRPr="00873F20">
        <w:rPr>
          <w:rFonts w:ascii="Arial" w:eastAsia="Times New Roman" w:hAnsi="Arial" w:cs="Arial"/>
          <w:lang w:val="fr-FR"/>
        </w:rPr>
        <w:t>ipées</w:t>
      </w:r>
      <w:r w:rsidRPr="00873F20">
        <w:rPr>
          <w:rFonts w:ascii="Arial" w:eastAsia="Times New Roman" w:hAnsi="Arial" w:cs="Arial"/>
          <w:lang w:val="fr-FR"/>
        </w:rPr>
        <w:t xml:space="preserve"> des missiles </w:t>
      </w:r>
      <w:proofErr w:type="spellStart"/>
      <w:r w:rsidRPr="00873F20">
        <w:rPr>
          <w:rFonts w:ascii="Arial" w:eastAsia="Times New Roman" w:hAnsi="Arial" w:cs="Arial"/>
          <w:lang w:val="fr-FR"/>
        </w:rPr>
        <w:t>Oniks</w:t>
      </w:r>
      <w:proofErr w:type="spellEnd"/>
      <w:r w:rsidRPr="00873F20">
        <w:rPr>
          <w:rFonts w:ascii="Arial" w:eastAsia="Times New Roman" w:hAnsi="Arial" w:cs="Arial"/>
          <w:lang w:val="fr-FR"/>
        </w:rPr>
        <w:t xml:space="preserve"> P-800 supersoniques (Mach 2,5+) à trajectoire rasante (</w:t>
      </w:r>
      <w:proofErr w:type="spellStart"/>
      <w:r w:rsidRPr="00873F20">
        <w:rPr>
          <w:rFonts w:ascii="Arial" w:eastAsia="Times New Roman" w:hAnsi="Arial" w:cs="Arial"/>
          <w:lang w:val="fr-FR"/>
        </w:rPr>
        <w:t>Majumbar</w:t>
      </w:r>
      <w:proofErr w:type="spellEnd"/>
      <w:r w:rsidRPr="00873F20">
        <w:rPr>
          <w:rFonts w:ascii="Arial" w:eastAsia="Times New Roman" w:hAnsi="Arial" w:cs="Arial"/>
          <w:lang w:val="fr-FR"/>
        </w:rPr>
        <w:t>(a), 2016). Kaliningrad est éga</w:t>
      </w:r>
      <w:r w:rsidR="002A3B19">
        <w:rPr>
          <w:rFonts w:ascii="Arial" w:eastAsia="Times New Roman" w:hAnsi="Arial" w:cs="Arial"/>
          <w:lang w:val="fr-FR"/>
        </w:rPr>
        <w:t>lement équipée du S-400 Triumph</w:t>
      </w:r>
      <w:r w:rsidR="00063C39" w:rsidRPr="00873F20">
        <w:rPr>
          <w:rFonts w:ascii="Arial" w:eastAsia="Times New Roman" w:hAnsi="Arial" w:cs="Arial"/>
          <w:lang w:val="fr-FR"/>
        </w:rPr>
        <w:t xml:space="preserve"> </w:t>
      </w:r>
      <w:r w:rsidRPr="00873F20">
        <w:rPr>
          <w:rFonts w:ascii="Arial" w:eastAsia="Times New Roman" w:hAnsi="Arial" w:cs="Arial"/>
          <w:lang w:val="fr-FR"/>
        </w:rPr>
        <w:t>d’</w:t>
      </w:r>
      <w:r w:rsidR="00C97B99" w:rsidRPr="00873F20">
        <w:rPr>
          <w:rFonts w:ascii="Arial" w:eastAsia="Times New Roman" w:hAnsi="Arial" w:cs="Arial"/>
          <w:lang w:val="fr-FR"/>
        </w:rPr>
        <w:t>une portée opérationnell</w:t>
      </w:r>
      <w:r w:rsidRPr="00873F20">
        <w:rPr>
          <w:rFonts w:ascii="Arial" w:eastAsia="Times New Roman" w:hAnsi="Arial" w:cs="Arial"/>
          <w:lang w:val="fr-FR"/>
        </w:rPr>
        <w:t>e</w:t>
      </w:r>
      <w:r w:rsidR="00C97B99" w:rsidRPr="00873F20">
        <w:rPr>
          <w:rFonts w:ascii="Arial" w:eastAsia="Times New Roman" w:hAnsi="Arial" w:cs="Arial"/>
          <w:lang w:val="fr-FR"/>
        </w:rPr>
        <w:t xml:space="preserve"> </w:t>
      </w:r>
      <w:r w:rsidRPr="00873F20">
        <w:rPr>
          <w:rFonts w:ascii="Arial" w:eastAsia="Times New Roman" w:hAnsi="Arial" w:cs="Arial"/>
          <w:lang w:val="fr-FR"/>
        </w:rPr>
        <w:t xml:space="preserve">de 400 km. </w:t>
      </w:r>
      <w:r w:rsidR="00964093" w:rsidRPr="00873F20">
        <w:rPr>
          <w:rFonts w:ascii="Arial" w:eastAsia="Times New Roman" w:hAnsi="Arial" w:cs="Arial"/>
          <w:lang w:val="fr-FR"/>
        </w:rPr>
        <w:t xml:space="preserve">Avec </w:t>
      </w:r>
      <w:r w:rsidR="00C97B99" w:rsidRPr="00873F20">
        <w:rPr>
          <w:rFonts w:ascii="Arial" w:eastAsia="Times New Roman" w:hAnsi="Arial" w:cs="Arial"/>
          <w:lang w:val="fr-FR"/>
        </w:rPr>
        <w:t>les armes offensives de Kaliningrad</w:t>
      </w:r>
      <w:r w:rsidR="00964093" w:rsidRPr="00873F20">
        <w:rPr>
          <w:rFonts w:ascii="Arial" w:eastAsia="Times New Roman" w:hAnsi="Arial" w:cs="Arial"/>
          <w:lang w:val="fr-FR"/>
        </w:rPr>
        <w:t xml:space="preserve"> – elles-mêmes défendues par lance-missiles </w:t>
      </w:r>
      <w:proofErr w:type="spellStart"/>
      <w:r w:rsidR="00964093" w:rsidRPr="00873F20">
        <w:rPr>
          <w:rFonts w:ascii="Arial" w:eastAsia="Times New Roman" w:hAnsi="Arial" w:cs="Arial"/>
          <w:lang w:val="fr-FR"/>
        </w:rPr>
        <w:t>Pantsir</w:t>
      </w:r>
      <w:proofErr w:type="spellEnd"/>
      <w:r w:rsidR="00964093" w:rsidRPr="00873F20">
        <w:rPr>
          <w:rFonts w:ascii="Arial" w:eastAsia="Times New Roman" w:hAnsi="Arial" w:cs="Arial"/>
          <w:lang w:val="fr-FR"/>
        </w:rPr>
        <w:t xml:space="preserve">-S –, Moscou transforme </w:t>
      </w:r>
      <w:r w:rsidR="00C97B99" w:rsidRPr="00873F20">
        <w:rPr>
          <w:rFonts w:ascii="Arial" w:eastAsia="Times New Roman" w:hAnsi="Arial" w:cs="Arial"/>
          <w:lang w:val="fr-FR"/>
        </w:rPr>
        <w:t xml:space="preserve">de facto de vastes pans de l’espace aérien lituanien et polonais en zones d’exclusion aérienne pour </w:t>
      </w:r>
      <w:r w:rsidR="00964093" w:rsidRPr="00873F20">
        <w:rPr>
          <w:rFonts w:ascii="Arial" w:eastAsia="Times New Roman" w:hAnsi="Arial" w:cs="Arial"/>
          <w:lang w:val="fr-FR"/>
        </w:rPr>
        <w:t>aéronefs</w:t>
      </w:r>
      <w:r w:rsidR="00C97B99" w:rsidRPr="00873F20">
        <w:rPr>
          <w:rFonts w:ascii="Arial" w:eastAsia="Times New Roman" w:hAnsi="Arial" w:cs="Arial"/>
          <w:lang w:val="fr-FR"/>
        </w:rPr>
        <w:t xml:space="preserve"> conventionnels non furtifs (</w:t>
      </w:r>
      <w:proofErr w:type="spellStart"/>
      <w:r w:rsidR="00C97B99" w:rsidRPr="00873F20">
        <w:rPr>
          <w:rFonts w:ascii="Arial" w:eastAsia="Times New Roman" w:hAnsi="Arial" w:cs="Arial"/>
          <w:lang w:val="fr-FR"/>
        </w:rPr>
        <w:t>Majumbar</w:t>
      </w:r>
      <w:proofErr w:type="spellEnd"/>
      <w:r w:rsidR="00C97B99" w:rsidRPr="00873F20">
        <w:rPr>
          <w:rFonts w:ascii="Arial" w:eastAsia="Times New Roman" w:hAnsi="Arial" w:cs="Arial"/>
          <w:lang w:val="fr-FR"/>
        </w:rPr>
        <w:t xml:space="preserve">(b), 2016). </w:t>
      </w:r>
      <w:r w:rsidR="00063C39" w:rsidRPr="00873F20">
        <w:rPr>
          <w:rFonts w:ascii="Arial" w:eastAsia="Times New Roman" w:hAnsi="Arial" w:cs="Arial"/>
          <w:lang w:val="fr-FR"/>
        </w:rPr>
        <w:t xml:space="preserve">Après avoir déjà déployé temporairement à deux reprises </w:t>
      </w:r>
      <w:r w:rsidR="00C97B99" w:rsidRPr="00873F20">
        <w:rPr>
          <w:rFonts w:ascii="Arial" w:eastAsia="Times New Roman" w:hAnsi="Arial" w:cs="Arial"/>
          <w:lang w:val="fr-FR"/>
        </w:rPr>
        <w:t xml:space="preserve">des missiles </w:t>
      </w:r>
      <w:proofErr w:type="spellStart"/>
      <w:r w:rsidR="00C97B99" w:rsidRPr="00873F20">
        <w:rPr>
          <w:rFonts w:ascii="Arial" w:eastAsia="Times New Roman" w:hAnsi="Arial" w:cs="Arial"/>
          <w:lang w:val="fr-FR"/>
        </w:rPr>
        <w:t>Iskander</w:t>
      </w:r>
      <w:proofErr w:type="spellEnd"/>
      <w:r w:rsidR="00C97B99" w:rsidRPr="00873F20">
        <w:rPr>
          <w:rFonts w:ascii="Arial" w:eastAsia="Times New Roman" w:hAnsi="Arial" w:cs="Arial"/>
          <w:lang w:val="fr-FR"/>
        </w:rPr>
        <w:t xml:space="preserve"> d’une portée de 500 km à capacité nucléaire</w:t>
      </w:r>
      <w:r w:rsidR="00063C39" w:rsidRPr="00873F20">
        <w:rPr>
          <w:rFonts w:ascii="Arial" w:eastAsia="Times New Roman" w:hAnsi="Arial" w:cs="Arial"/>
          <w:lang w:val="fr-FR"/>
        </w:rPr>
        <w:t xml:space="preserve"> à Kaliningrad, </w:t>
      </w:r>
      <w:r w:rsidR="00C97B99" w:rsidRPr="00873F20">
        <w:rPr>
          <w:rFonts w:ascii="Arial" w:eastAsia="Times New Roman" w:hAnsi="Arial" w:cs="Arial"/>
          <w:lang w:val="fr-FR"/>
        </w:rPr>
        <w:t xml:space="preserve">les autorités russes annoncent </w:t>
      </w:r>
      <w:r w:rsidR="00063C39" w:rsidRPr="00873F20">
        <w:rPr>
          <w:rFonts w:ascii="Arial" w:eastAsia="Times New Roman" w:hAnsi="Arial" w:cs="Arial"/>
          <w:lang w:val="fr-FR"/>
        </w:rPr>
        <w:t>un déploiement permanent d’ici à 2019</w:t>
      </w:r>
      <w:r w:rsidR="00C97B99" w:rsidRPr="00873F20">
        <w:rPr>
          <w:rFonts w:ascii="Arial" w:eastAsia="Times New Roman" w:hAnsi="Arial" w:cs="Arial"/>
          <w:lang w:val="fr-FR"/>
        </w:rPr>
        <w:t xml:space="preserve"> en réponse au projet d’installation, en Roumanie et en Pologne, de la capacité BMD de l’OTAN fournie par les États-Unis. Il faudra</w:t>
      </w:r>
      <w:r w:rsidR="00F73B05" w:rsidRPr="00873F20">
        <w:rPr>
          <w:rFonts w:ascii="Arial" w:eastAsia="Times New Roman" w:hAnsi="Arial" w:cs="Arial"/>
          <w:lang w:val="fr-FR"/>
        </w:rPr>
        <w:t>it</w:t>
      </w:r>
      <w:r w:rsidR="00C97B99" w:rsidRPr="00873F20">
        <w:rPr>
          <w:rFonts w:ascii="Arial" w:eastAsia="Times New Roman" w:hAnsi="Arial" w:cs="Arial"/>
          <w:lang w:val="fr-FR"/>
        </w:rPr>
        <w:t xml:space="preserve">, </w:t>
      </w:r>
      <w:r w:rsidR="00F73B05" w:rsidRPr="00873F20">
        <w:rPr>
          <w:rFonts w:ascii="Arial" w:eastAsia="Times New Roman" w:hAnsi="Arial" w:cs="Arial"/>
          <w:lang w:val="fr-FR"/>
        </w:rPr>
        <w:t xml:space="preserve">à supposer que </w:t>
      </w:r>
      <w:r w:rsidR="00C97B99" w:rsidRPr="00873F20">
        <w:rPr>
          <w:rFonts w:ascii="Arial" w:eastAsia="Times New Roman" w:hAnsi="Arial" w:cs="Arial"/>
          <w:lang w:val="fr-FR"/>
        </w:rPr>
        <w:t xml:space="preserve">l’OTAN </w:t>
      </w:r>
      <w:r w:rsidR="00F73B05" w:rsidRPr="00873F20">
        <w:rPr>
          <w:rFonts w:ascii="Arial" w:eastAsia="Times New Roman" w:hAnsi="Arial" w:cs="Arial"/>
          <w:lang w:val="fr-FR"/>
        </w:rPr>
        <w:t>veuille</w:t>
      </w:r>
      <w:r w:rsidR="00ED73B8">
        <w:rPr>
          <w:rFonts w:ascii="Arial" w:eastAsia="Times New Roman" w:hAnsi="Arial" w:cs="Arial"/>
          <w:lang w:val="fr-FR"/>
        </w:rPr>
        <w:t>,</w:t>
      </w:r>
      <w:r w:rsidR="00F73B05" w:rsidRPr="00873F20">
        <w:rPr>
          <w:rFonts w:ascii="Arial" w:eastAsia="Times New Roman" w:hAnsi="Arial" w:cs="Arial"/>
          <w:lang w:val="fr-FR"/>
        </w:rPr>
        <w:t xml:space="preserve"> constituer</w:t>
      </w:r>
      <w:r w:rsidR="00C97B99" w:rsidRPr="00873F20">
        <w:rPr>
          <w:rFonts w:ascii="Arial" w:eastAsia="Times New Roman" w:hAnsi="Arial" w:cs="Arial"/>
          <w:lang w:val="fr-FR"/>
        </w:rPr>
        <w:t xml:space="preserve"> les </w:t>
      </w:r>
      <w:r w:rsidR="00F73B05" w:rsidRPr="00873F20">
        <w:rPr>
          <w:rFonts w:ascii="Arial" w:eastAsia="Times New Roman" w:hAnsi="Arial" w:cs="Arial"/>
          <w:lang w:val="fr-FR"/>
        </w:rPr>
        <w:t xml:space="preserve">capacités </w:t>
      </w:r>
      <w:r w:rsidR="00C97B99" w:rsidRPr="00873F20">
        <w:rPr>
          <w:rFonts w:ascii="Arial" w:eastAsia="Times New Roman" w:hAnsi="Arial" w:cs="Arial"/>
          <w:lang w:val="fr-FR"/>
        </w:rPr>
        <w:t xml:space="preserve">nécessaires pour </w:t>
      </w:r>
      <w:r w:rsidR="00F73B05" w:rsidRPr="00873F20">
        <w:rPr>
          <w:rFonts w:ascii="Arial" w:eastAsia="Times New Roman" w:hAnsi="Arial" w:cs="Arial"/>
          <w:lang w:val="fr-FR"/>
        </w:rPr>
        <w:t>prendre</w:t>
      </w:r>
      <w:r w:rsidR="00C97B99" w:rsidRPr="00873F20">
        <w:rPr>
          <w:rFonts w:ascii="Arial" w:eastAsia="Times New Roman" w:hAnsi="Arial" w:cs="Arial"/>
          <w:lang w:val="fr-FR"/>
        </w:rPr>
        <w:t xml:space="preserve"> cette bulle A2/A</w:t>
      </w:r>
      <w:r w:rsidR="00F73B05" w:rsidRPr="00873F20">
        <w:rPr>
          <w:rFonts w:ascii="Arial" w:eastAsia="Times New Roman" w:hAnsi="Arial" w:cs="Arial"/>
          <w:lang w:val="fr-FR"/>
        </w:rPr>
        <w:t>D de vitesse</w:t>
      </w:r>
      <w:r w:rsidR="00C97B99" w:rsidRPr="00873F20">
        <w:rPr>
          <w:rFonts w:ascii="Arial" w:eastAsia="Times New Roman" w:hAnsi="Arial" w:cs="Arial"/>
          <w:lang w:val="fr-FR"/>
        </w:rPr>
        <w:t xml:space="preserve">, </w:t>
      </w:r>
      <w:r w:rsidR="00F73B05" w:rsidRPr="00873F20">
        <w:rPr>
          <w:rFonts w:ascii="Arial" w:eastAsia="Times New Roman" w:hAnsi="Arial" w:cs="Arial"/>
          <w:lang w:val="fr-FR"/>
        </w:rPr>
        <w:t>que l’Alliance renforce ses moyens – forces et matériels – déployés à l’avant.</w:t>
      </w:r>
    </w:p>
    <w:p w14:paraId="6DCB5CE7" w14:textId="77777777" w:rsidR="00F73B05" w:rsidRPr="00873F20" w:rsidRDefault="00F73B05" w:rsidP="005D5967"/>
    <w:p w14:paraId="12643640" w14:textId="30D11D3B" w:rsidR="00C90D91" w:rsidRPr="00873F20" w:rsidRDefault="00F0745C" w:rsidP="00825AB9">
      <w:pPr>
        <w:pStyle w:val="ListParagraph"/>
        <w:numPr>
          <w:ilvl w:val="0"/>
          <w:numId w:val="23"/>
        </w:numPr>
        <w:jc w:val="both"/>
        <w:rPr>
          <w:rFonts w:ascii="Arial" w:eastAsia="Times New Roman" w:hAnsi="Arial" w:cs="Arial"/>
          <w:lang w:val="fr-FR"/>
        </w:rPr>
      </w:pPr>
      <w:r w:rsidRPr="00873F20">
        <w:rPr>
          <w:rFonts w:ascii="Arial" w:eastAsia="Times New Roman" w:hAnsi="Arial" w:cs="Arial"/>
          <w:lang w:val="fr-FR"/>
        </w:rPr>
        <w:t>S’agissant de</w:t>
      </w:r>
      <w:r w:rsidR="00F73B05" w:rsidRPr="00873F20">
        <w:rPr>
          <w:rFonts w:ascii="Arial" w:eastAsia="Times New Roman" w:hAnsi="Arial" w:cs="Arial"/>
          <w:lang w:val="fr-FR"/>
        </w:rPr>
        <w:t xml:space="preserve"> la </w:t>
      </w:r>
      <w:r w:rsidR="00F73B05" w:rsidRPr="00873F20">
        <w:rPr>
          <w:rFonts w:ascii="Arial" w:eastAsia="Times New Roman" w:hAnsi="Arial" w:cs="Arial"/>
          <w:b/>
          <w:lang w:val="fr-FR"/>
        </w:rPr>
        <w:t>région de la mer Noire</w:t>
      </w:r>
      <w:r w:rsidR="00F73B05" w:rsidRPr="00873F20">
        <w:rPr>
          <w:rFonts w:ascii="Arial" w:eastAsia="Times New Roman" w:hAnsi="Arial" w:cs="Arial"/>
          <w:lang w:val="fr-FR"/>
        </w:rPr>
        <w:t xml:space="preserve">, la Russie a déployé, dans la péninsule de Crimée, un système de missiles antinavires Bastion-P basé à terre équipé de missiles </w:t>
      </w:r>
      <w:proofErr w:type="spellStart"/>
      <w:r w:rsidR="00F73B05" w:rsidRPr="00873F20">
        <w:rPr>
          <w:rFonts w:ascii="Arial" w:eastAsia="Times New Roman" w:hAnsi="Arial" w:cs="Arial"/>
          <w:lang w:val="fr-FR"/>
        </w:rPr>
        <w:t>Oniks</w:t>
      </w:r>
      <w:proofErr w:type="spellEnd"/>
      <w:r w:rsidR="00F73B05" w:rsidRPr="00873F20">
        <w:rPr>
          <w:rFonts w:ascii="Arial" w:eastAsia="Times New Roman" w:hAnsi="Arial" w:cs="Arial"/>
          <w:lang w:val="fr-FR"/>
        </w:rPr>
        <w:t xml:space="preserve"> P-800 et de systèmes de missiles sol-air S-300 PMU, tous reliés à des radars côtiers. Moscou a également déployé dans la région des bombardiers Tu-22M3 de type </w:t>
      </w:r>
      <w:proofErr w:type="spellStart"/>
      <w:r w:rsidR="00F73B05" w:rsidRPr="00873F20">
        <w:rPr>
          <w:rFonts w:ascii="Arial" w:eastAsia="Times New Roman" w:hAnsi="Arial" w:cs="Arial"/>
          <w:lang w:val="fr-FR"/>
        </w:rPr>
        <w:t>Backfire</w:t>
      </w:r>
      <w:proofErr w:type="spellEnd"/>
      <w:r w:rsidR="00F73B05" w:rsidRPr="00873F20">
        <w:rPr>
          <w:rFonts w:ascii="Arial" w:eastAsia="Times New Roman" w:hAnsi="Arial" w:cs="Arial"/>
          <w:lang w:val="fr-FR"/>
        </w:rPr>
        <w:t xml:space="preserve">, ainsi que des Tu-142 et des Iliouchine II-38 </w:t>
      </w:r>
      <w:r w:rsidR="008B6554" w:rsidRPr="00873F20">
        <w:rPr>
          <w:rFonts w:ascii="Arial" w:eastAsia="Times New Roman" w:hAnsi="Arial" w:cs="Arial"/>
          <w:lang w:val="fr-FR"/>
        </w:rPr>
        <w:t>de</w:t>
      </w:r>
      <w:r w:rsidR="00F73B05" w:rsidRPr="00873F20">
        <w:rPr>
          <w:rFonts w:ascii="Arial" w:eastAsia="Times New Roman" w:hAnsi="Arial" w:cs="Arial"/>
          <w:lang w:val="fr-FR"/>
        </w:rPr>
        <w:t xml:space="preserve"> lutte anti-sou</w:t>
      </w:r>
      <w:r w:rsidR="0038588C" w:rsidRPr="00873F20">
        <w:rPr>
          <w:rFonts w:ascii="Arial" w:eastAsia="Times New Roman" w:hAnsi="Arial" w:cs="Arial"/>
          <w:lang w:val="fr-FR"/>
        </w:rPr>
        <w:t>s-</w:t>
      </w:r>
      <w:r w:rsidR="00F73B05" w:rsidRPr="00873F20">
        <w:rPr>
          <w:rFonts w:ascii="Arial" w:eastAsia="Times New Roman" w:hAnsi="Arial" w:cs="Arial"/>
          <w:lang w:val="fr-FR"/>
        </w:rPr>
        <w:t>marine et de patrouille maritime</w:t>
      </w:r>
      <w:r w:rsidR="008B6554" w:rsidRPr="00873F20">
        <w:rPr>
          <w:rFonts w:ascii="Arial" w:eastAsia="Times New Roman" w:hAnsi="Arial" w:cs="Arial"/>
          <w:lang w:val="fr-FR"/>
        </w:rPr>
        <w:t xml:space="preserve">. Le Tu-22M3 peut emporter jusqu’à 10 missiles </w:t>
      </w:r>
      <w:proofErr w:type="spellStart"/>
      <w:r w:rsidR="008B6554" w:rsidRPr="00873F20">
        <w:rPr>
          <w:rFonts w:ascii="Arial" w:eastAsia="Times New Roman" w:hAnsi="Arial" w:cs="Arial"/>
          <w:lang w:val="fr-FR"/>
        </w:rPr>
        <w:t>Raduga</w:t>
      </w:r>
      <w:proofErr w:type="spellEnd"/>
      <w:r w:rsidR="008B6554" w:rsidRPr="00873F20">
        <w:rPr>
          <w:rFonts w:ascii="Arial" w:eastAsia="Times New Roman" w:hAnsi="Arial" w:cs="Arial"/>
          <w:lang w:val="fr-FR"/>
        </w:rPr>
        <w:t xml:space="preserve"> Kh-15 ou ju</w:t>
      </w:r>
      <w:r w:rsidR="0038588C" w:rsidRPr="00873F20">
        <w:rPr>
          <w:rFonts w:ascii="Arial" w:eastAsia="Times New Roman" w:hAnsi="Arial" w:cs="Arial"/>
          <w:lang w:val="fr-FR"/>
        </w:rPr>
        <w:t>s</w:t>
      </w:r>
      <w:r w:rsidR="008B6554" w:rsidRPr="00873F20">
        <w:rPr>
          <w:rFonts w:ascii="Arial" w:eastAsia="Times New Roman" w:hAnsi="Arial" w:cs="Arial"/>
          <w:lang w:val="fr-FR"/>
        </w:rPr>
        <w:t xml:space="preserve">qu’à trois missiles </w:t>
      </w:r>
      <w:proofErr w:type="spellStart"/>
      <w:r w:rsidR="008B6554" w:rsidRPr="00873F20">
        <w:rPr>
          <w:rFonts w:ascii="Arial" w:eastAsia="Times New Roman" w:hAnsi="Arial" w:cs="Arial"/>
          <w:lang w:val="fr-FR"/>
        </w:rPr>
        <w:t>Raduga</w:t>
      </w:r>
      <w:proofErr w:type="spellEnd"/>
      <w:r w:rsidR="008B6554" w:rsidRPr="00873F20">
        <w:rPr>
          <w:rFonts w:ascii="Arial" w:eastAsia="Times New Roman" w:hAnsi="Arial" w:cs="Arial"/>
          <w:lang w:val="fr-FR"/>
        </w:rPr>
        <w:t xml:space="preserve"> Kh-22 conçus pour mettre en échec des systèmes de défense aérienne avancés et capables d’emporter des charges nucléaires (</w:t>
      </w:r>
      <w:proofErr w:type="spellStart"/>
      <w:r w:rsidR="008B6554" w:rsidRPr="00873F20">
        <w:rPr>
          <w:rFonts w:ascii="Arial" w:eastAsia="Times New Roman" w:hAnsi="Arial" w:cs="Arial"/>
          <w:lang w:val="fr-FR"/>
        </w:rPr>
        <w:t>Manea</w:t>
      </w:r>
      <w:proofErr w:type="spellEnd"/>
      <w:r w:rsidR="008B6554" w:rsidRPr="00873F20">
        <w:rPr>
          <w:rFonts w:ascii="Arial" w:eastAsia="Times New Roman" w:hAnsi="Arial" w:cs="Arial"/>
          <w:lang w:val="fr-FR"/>
        </w:rPr>
        <w:t xml:space="preserve"> </w:t>
      </w:r>
      <w:r w:rsidR="001E5A0B" w:rsidRPr="00873F20">
        <w:rPr>
          <w:rFonts w:ascii="Arial" w:eastAsia="Times New Roman" w:hAnsi="Arial" w:cs="Arial"/>
          <w:lang w:val="fr-FR"/>
        </w:rPr>
        <w:t>&amp;</w:t>
      </w:r>
      <w:r w:rsidR="008B6554" w:rsidRPr="00873F20">
        <w:rPr>
          <w:rFonts w:ascii="Arial" w:eastAsia="Times New Roman" w:hAnsi="Arial" w:cs="Arial"/>
          <w:lang w:val="fr-FR"/>
        </w:rPr>
        <w:t xml:space="preserve"> </w:t>
      </w:r>
      <w:proofErr w:type="spellStart"/>
      <w:r w:rsidR="008B6554" w:rsidRPr="00873F20">
        <w:rPr>
          <w:rFonts w:ascii="Arial" w:eastAsia="Times New Roman" w:hAnsi="Arial" w:cs="Arial"/>
          <w:lang w:val="fr-FR"/>
        </w:rPr>
        <w:t>Visan</w:t>
      </w:r>
      <w:proofErr w:type="spellEnd"/>
      <w:r w:rsidR="008B6554" w:rsidRPr="00873F20">
        <w:rPr>
          <w:rFonts w:ascii="Arial" w:eastAsia="Times New Roman" w:hAnsi="Arial" w:cs="Arial"/>
          <w:lang w:val="fr-FR"/>
        </w:rPr>
        <w:t xml:space="preserve">, 2015). Le déploiement de ces moyens a </w:t>
      </w:r>
      <w:r w:rsidR="00964093" w:rsidRPr="00873F20">
        <w:rPr>
          <w:rFonts w:ascii="Arial" w:eastAsia="Times New Roman" w:hAnsi="Arial" w:cs="Arial"/>
          <w:lang w:val="fr-FR"/>
        </w:rPr>
        <w:t>ouvertement</w:t>
      </w:r>
      <w:r w:rsidR="008B6554" w:rsidRPr="00873F20">
        <w:rPr>
          <w:rFonts w:ascii="Arial" w:eastAsia="Times New Roman" w:hAnsi="Arial" w:cs="Arial"/>
          <w:lang w:val="fr-FR"/>
        </w:rPr>
        <w:t xml:space="preserve"> commencé, mais tous les sites ne sont pas encore prêts</w:t>
      </w:r>
      <w:r w:rsidR="00964093" w:rsidRPr="00873F20">
        <w:rPr>
          <w:rFonts w:ascii="Arial" w:eastAsia="Times New Roman" w:hAnsi="Arial" w:cs="Arial"/>
          <w:lang w:val="fr-FR"/>
        </w:rPr>
        <w:t xml:space="preserve"> à accueillir ces installations. L</w:t>
      </w:r>
      <w:r w:rsidR="008B6554" w:rsidRPr="00873F20">
        <w:rPr>
          <w:rFonts w:ascii="Arial" w:eastAsia="Times New Roman" w:hAnsi="Arial" w:cs="Arial"/>
          <w:lang w:val="fr-FR"/>
        </w:rPr>
        <w:t xml:space="preserve">a Russie a </w:t>
      </w:r>
      <w:r w:rsidR="00964093" w:rsidRPr="00873F20">
        <w:rPr>
          <w:rFonts w:ascii="Arial" w:eastAsia="Times New Roman" w:hAnsi="Arial" w:cs="Arial"/>
          <w:lang w:val="fr-FR"/>
        </w:rPr>
        <w:t xml:space="preserve">par ailleurs </w:t>
      </w:r>
      <w:r w:rsidR="008B6554" w:rsidRPr="00873F20">
        <w:rPr>
          <w:rFonts w:ascii="Arial" w:eastAsia="Times New Roman" w:hAnsi="Arial" w:cs="Arial"/>
          <w:lang w:val="fr-FR"/>
        </w:rPr>
        <w:t>déployé des systèmes de missiles S-400 en</w:t>
      </w:r>
      <w:r w:rsidRPr="00873F20">
        <w:rPr>
          <w:rFonts w:ascii="Arial" w:eastAsia="Times New Roman" w:hAnsi="Arial" w:cs="Arial"/>
          <w:lang w:val="fr-FR"/>
        </w:rPr>
        <w:t xml:space="preserve"> Crimée </w:t>
      </w:r>
      <w:r w:rsidR="00964093" w:rsidRPr="00873F20">
        <w:rPr>
          <w:rFonts w:ascii="Arial" w:eastAsia="Times New Roman" w:hAnsi="Arial" w:cs="Arial"/>
          <w:lang w:val="fr-FR"/>
        </w:rPr>
        <w:t xml:space="preserve">en août 2016 </w:t>
      </w:r>
      <w:r w:rsidRPr="00873F20">
        <w:rPr>
          <w:rFonts w:ascii="Arial" w:eastAsia="Times New Roman" w:hAnsi="Arial" w:cs="Arial"/>
          <w:lang w:val="fr-FR"/>
        </w:rPr>
        <w:t>(Reuters,</w:t>
      </w:r>
      <w:r w:rsidR="008B6554" w:rsidRPr="00873F20">
        <w:rPr>
          <w:rFonts w:ascii="Arial" w:eastAsia="Times New Roman" w:hAnsi="Arial" w:cs="Arial"/>
          <w:lang w:val="fr-FR"/>
        </w:rPr>
        <w:t xml:space="preserve"> 2016</w:t>
      </w:r>
      <w:r w:rsidR="00964093" w:rsidRPr="00873F20">
        <w:rPr>
          <w:rFonts w:ascii="Arial" w:eastAsia="Times New Roman" w:hAnsi="Arial" w:cs="Arial"/>
          <w:lang w:val="fr-FR"/>
        </w:rPr>
        <w:t>)</w:t>
      </w:r>
      <w:r w:rsidR="008B6554" w:rsidRPr="00873F20">
        <w:rPr>
          <w:rFonts w:ascii="Arial" w:eastAsia="Times New Roman" w:hAnsi="Arial" w:cs="Arial"/>
          <w:lang w:val="fr-FR"/>
        </w:rPr>
        <w:t xml:space="preserve">, accélérant ainsi la militarisation de la péninsule. </w:t>
      </w:r>
      <w:r w:rsidR="00964093" w:rsidRPr="00873F20">
        <w:rPr>
          <w:rFonts w:ascii="Arial" w:eastAsia="Times New Roman" w:hAnsi="Arial" w:cs="Arial"/>
          <w:lang w:val="fr-FR"/>
        </w:rPr>
        <w:t>Renforçant son emprise</w:t>
      </w:r>
      <w:r w:rsidR="008B6554" w:rsidRPr="00873F20">
        <w:rPr>
          <w:rFonts w:ascii="Arial" w:eastAsia="Times New Roman" w:hAnsi="Arial" w:cs="Arial"/>
          <w:lang w:val="fr-FR"/>
        </w:rPr>
        <w:t xml:space="preserve">, Moscou a </w:t>
      </w:r>
      <w:r w:rsidR="00964093" w:rsidRPr="00873F20">
        <w:rPr>
          <w:rFonts w:ascii="Arial" w:eastAsia="Times New Roman" w:hAnsi="Arial" w:cs="Arial"/>
          <w:lang w:val="fr-FR"/>
        </w:rPr>
        <w:t xml:space="preserve">également acheminé </w:t>
      </w:r>
      <w:r w:rsidR="008B6554" w:rsidRPr="00873F20">
        <w:rPr>
          <w:rFonts w:ascii="Arial" w:eastAsia="Times New Roman" w:hAnsi="Arial" w:cs="Arial"/>
          <w:lang w:val="fr-FR"/>
        </w:rPr>
        <w:t>des systèmes de missiles S-300 sur sa 102</w:t>
      </w:r>
      <w:r w:rsidR="00063C39" w:rsidRPr="00873F20">
        <w:rPr>
          <w:rFonts w:ascii="Arial" w:eastAsia="Times New Roman" w:hAnsi="Arial" w:cs="Arial"/>
          <w:vertAlign w:val="superscript"/>
          <w:lang w:val="fr-FR"/>
        </w:rPr>
        <w:t>e</w:t>
      </w:r>
      <w:r w:rsidR="00063C39" w:rsidRPr="00873F20">
        <w:rPr>
          <w:rFonts w:ascii="Arial" w:eastAsia="Times New Roman" w:hAnsi="Arial" w:cs="Arial"/>
          <w:lang w:val="fr-FR"/>
        </w:rPr>
        <w:t xml:space="preserve"> </w:t>
      </w:r>
      <w:r w:rsidR="008B6554" w:rsidRPr="00873F20">
        <w:rPr>
          <w:rFonts w:ascii="Arial" w:eastAsia="Times New Roman" w:hAnsi="Arial" w:cs="Arial"/>
          <w:lang w:val="fr-FR"/>
        </w:rPr>
        <w:t>base militaire, en Arménie, étendant ainsi la couverture de ses moyens A2/AD sur la partie orientale de la mer Noire, la Géo</w:t>
      </w:r>
      <w:r w:rsidR="00063C39" w:rsidRPr="00873F20">
        <w:rPr>
          <w:rFonts w:ascii="Arial" w:eastAsia="Times New Roman" w:hAnsi="Arial" w:cs="Arial"/>
          <w:lang w:val="fr-FR"/>
        </w:rPr>
        <w:t>rgie et l’est de la Turquie (</w:t>
      </w:r>
      <w:proofErr w:type="spellStart"/>
      <w:r w:rsidR="00063C39" w:rsidRPr="00873F20">
        <w:rPr>
          <w:rFonts w:ascii="Arial" w:eastAsia="Times New Roman" w:hAnsi="Arial" w:cs="Arial"/>
          <w:lang w:val="fr-FR"/>
        </w:rPr>
        <w:t>Ab</w:t>
      </w:r>
      <w:r w:rsidR="008B6554" w:rsidRPr="00873F20">
        <w:rPr>
          <w:rFonts w:ascii="Arial" w:eastAsia="Times New Roman" w:hAnsi="Arial" w:cs="Arial"/>
          <w:lang w:val="fr-FR"/>
        </w:rPr>
        <w:t>rahamyan</w:t>
      </w:r>
      <w:proofErr w:type="spellEnd"/>
      <w:r w:rsidR="008B6554" w:rsidRPr="00873F20">
        <w:rPr>
          <w:rFonts w:ascii="Arial" w:eastAsia="Times New Roman" w:hAnsi="Arial" w:cs="Arial"/>
          <w:lang w:val="fr-FR"/>
        </w:rPr>
        <w:t>, 2016). La Russie a l’</w:t>
      </w:r>
      <w:r w:rsidR="001E5A0B" w:rsidRPr="00873F20">
        <w:rPr>
          <w:rFonts w:ascii="Arial" w:eastAsia="Times New Roman" w:hAnsi="Arial" w:cs="Arial"/>
          <w:lang w:val="fr-FR"/>
        </w:rPr>
        <w:t xml:space="preserve">intention, d’ici à 2020, </w:t>
      </w:r>
      <w:r w:rsidR="008B6554" w:rsidRPr="00873F20">
        <w:rPr>
          <w:rFonts w:ascii="Arial" w:eastAsia="Times New Roman" w:hAnsi="Arial" w:cs="Arial"/>
          <w:lang w:val="fr-FR"/>
        </w:rPr>
        <w:t>d’investir 2,3 millia</w:t>
      </w:r>
      <w:r w:rsidRPr="00873F20">
        <w:rPr>
          <w:rFonts w:ascii="Arial" w:eastAsia="Times New Roman" w:hAnsi="Arial" w:cs="Arial"/>
          <w:lang w:val="fr-FR"/>
        </w:rPr>
        <w:t xml:space="preserve">rds </w:t>
      </w:r>
      <w:r w:rsidR="00774831" w:rsidRPr="00873F20">
        <w:rPr>
          <w:rFonts w:ascii="Arial" w:eastAsia="Times New Roman" w:hAnsi="Arial" w:cs="Arial"/>
          <w:lang w:val="fr-FR"/>
        </w:rPr>
        <w:t xml:space="preserve">de dollars </w:t>
      </w:r>
      <w:r w:rsidRPr="00873F20">
        <w:rPr>
          <w:rFonts w:ascii="Arial" w:eastAsia="Times New Roman" w:hAnsi="Arial" w:cs="Arial"/>
          <w:lang w:val="fr-FR"/>
        </w:rPr>
        <w:t>supplémentaire</w:t>
      </w:r>
      <w:r w:rsidR="00063C39" w:rsidRPr="00873F20">
        <w:rPr>
          <w:rFonts w:ascii="Arial" w:eastAsia="Times New Roman" w:hAnsi="Arial" w:cs="Arial"/>
          <w:lang w:val="fr-FR"/>
        </w:rPr>
        <w:t>s</w:t>
      </w:r>
      <w:r w:rsidR="002A3B19">
        <w:rPr>
          <w:rFonts w:ascii="Arial" w:eastAsia="Times New Roman" w:hAnsi="Arial" w:cs="Arial"/>
          <w:lang w:val="fr-FR"/>
        </w:rPr>
        <w:t xml:space="preserve"> dans la f</w:t>
      </w:r>
      <w:r w:rsidR="008B6554" w:rsidRPr="00873F20">
        <w:rPr>
          <w:rFonts w:ascii="Arial" w:eastAsia="Times New Roman" w:hAnsi="Arial" w:cs="Arial"/>
          <w:lang w:val="fr-FR"/>
        </w:rPr>
        <w:t>lott</w:t>
      </w:r>
      <w:r w:rsidR="001E5A0B" w:rsidRPr="00873F20">
        <w:rPr>
          <w:rFonts w:ascii="Arial" w:eastAsia="Times New Roman" w:hAnsi="Arial" w:cs="Arial"/>
          <w:lang w:val="fr-FR"/>
        </w:rPr>
        <w:t>e de la mer Noire, laquelle de</w:t>
      </w:r>
      <w:r w:rsidR="00063C39" w:rsidRPr="00873F20">
        <w:rPr>
          <w:rFonts w:ascii="Arial" w:eastAsia="Times New Roman" w:hAnsi="Arial" w:cs="Arial"/>
          <w:lang w:val="fr-FR"/>
        </w:rPr>
        <w:t>vrait comporter à cette date 80 </w:t>
      </w:r>
      <w:r w:rsidR="001E5A0B" w:rsidRPr="00873F20">
        <w:rPr>
          <w:rFonts w:ascii="Arial" w:eastAsia="Times New Roman" w:hAnsi="Arial" w:cs="Arial"/>
          <w:lang w:val="fr-FR"/>
        </w:rPr>
        <w:t>bâtiments supplémentaires (</w:t>
      </w:r>
      <w:proofErr w:type="spellStart"/>
      <w:r w:rsidR="001E5A0B" w:rsidRPr="00873F20">
        <w:rPr>
          <w:rFonts w:ascii="Arial" w:eastAsia="Times New Roman" w:hAnsi="Arial" w:cs="Arial"/>
          <w:lang w:val="fr-FR"/>
        </w:rPr>
        <w:t>Manea</w:t>
      </w:r>
      <w:proofErr w:type="spellEnd"/>
      <w:r w:rsidR="001E5A0B" w:rsidRPr="00873F20">
        <w:rPr>
          <w:rFonts w:ascii="Arial" w:eastAsia="Times New Roman" w:hAnsi="Arial" w:cs="Arial"/>
          <w:lang w:val="fr-FR"/>
        </w:rPr>
        <w:t xml:space="preserve"> &amp; </w:t>
      </w:r>
      <w:proofErr w:type="spellStart"/>
      <w:r w:rsidR="001E5A0B" w:rsidRPr="00873F20">
        <w:rPr>
          <w:rFonts w:ascii="Arial" w:eastAsia="Times New Roman" w:hAnsi="Arial" w:cs="Arial"/>
          <w:lang w:val="fr-FR"/>
        </w:rPr>
        <w:t>Visan</w:t>
      </w:r>
      <w:proofErr w:type="spellEnd"/>
      <w:r w:rsidR="001E5A0B" w:rsidRPr="00873F20">
        <w:rPr>
          <w:rFonts w:ascii="Arial" w:eastAsia="Times New Roman" w:hAnsi="Arial" w:cs="Arial"/>
          <w:lang w:val="fr-FR"/>
        </w:rPr>
        <w:t xml:space="preserve">, 2015). </w:t>
      </w:r>
      <w:r w:rsidR="00964093" w:rsidRPr="00873F20">
        <w:rPr>
          <w:rFonts w:ascii="Arial" w:eastAsia="Times New Roman" w:hAnsi="Arial" w:cs="Arial"/>
          <w:lang w:val="fr-FR"/>
        </w:rPr>
        <w:t>Malgré certains retards,</w:t>
      </w:r>
      <w:r w:rsidR="001E5A0B" w:rsidRPr="00873F20">
        <w:rPr>
          <w:rFonts w:ascii="Arial" w:eastAsia="Times New Roman" w:hAnsi="Arial" w:cs="Arial"/>
          <w:lang w:val="fr-FR"/>
        </w:rPr>
        <w:t xml:space="preserve"> la flotte dispose actuellement d’une capacité A2/AD impressionnante sous la forme de simples mines à contact ainsi que de missiles de croisière antinavires basés à terre, à lanceur aérien ou embarqués sur sous-marins. D’ici à 2018, la flotte devrait recevoir six nouvelles frégates de classe Amiral Grigorovitch et six n</w:t>
      </w:r>
      <w:r w:rsidR="002A3B19">
        <w:rPr>
          <w:rFonts w:ascii="Arial" w:eastAsia="Times New Roman" w:hAnsi="Arial" w:cs="Arial"/>
          <w:lang w:val="fr-FR"/>
        </w:rPr>
        <w:t xml:space="preserve">ouveaux sous-marins de classe </w:t>
      </w:r>
      <w:proofErr w:type="spellStart"/>
      <w:r w:rsidR="002A3B19">
        <w:rPr>
          <w:rFonts w:ascii="Arial" w:eastAsia="Times New Roman" w:hAnsi="Arial" w:cs="Arial"/>
          <w:lang w:val="fr-FR"/>
        </w:rPr>
        <w:t>Va</w:t>
      </w:r>
      <w:r w:rsidR="001E5A0B" w:rsidRPr="00873F20">
        <w:rPr>
          <w:rFonts w:ascii="Arial" w:eastAsia="Times New Roman" w:hAnsi="Arial" w:cs="Arial"/>
          <w:lang w:val="fr-FR"/>
        </w:rPr>
        <w:t>rshavyanka</w:t>
      </w:r>
      <w:proofErr w:type="spellEnd"/>
      <w:r w:rsidR="001E5A0B" w:rsidRPr="00873F20">
        <w:rPr>
          <w:rFonts w:ascii="Arial" w:eastAsia="Times New Roman" w:hAnsi="Arial" w:cs="Arial"/>
          <w:lang w:val="fr-FR"/>
        </w:rPr>
        <w:t>.</w:t>
      </w:r>
      <w:r w:rsidR="00063C39" w:rsidRPr="00873F20">
        <w:rPr>
          <w:rFonts w:ascii="Arial" w:eastAsia="Times New Roman" w:hAnsi="Arial" w:cs="Arial"/>
          <w:lang w:val="fr-FR"/>
        </w:rPr>
        <w:t xml:space="preserve"> À titre de comparaison, la 6</w:t>
      </w:r>
      <w:r w:rsidR="00063C39" w:rsidRPr="00873F20">
        <w:rPr>
          <w:rFonts w:ascii="Arial" w:eastAsia="Times New Roman" w:hAnsi="Arial" w:cs="Arial"/>
          <w:vertAlign w:val="superscript"/>
          <w:lang w:val="fr-FR"/>
        </w:rPr>
        <w:t>e</w:t>
      </w:r>
      <w:r w:rsidR="001E5A0B" w:rsidRPr="00873F20">
        <w:rPr>
          <w:rFonts w:ascii="Arial" w:eastAsia="Times New Roman" w:hAnsi="Arial" w:cs="Arial"/>
          <w:lang w:val="fr-FR"/>
        </w:rPr>
        <w:t xml:space="preserve"> flotte des États-Unis </w:t>
      </w:r>
      <w:r w:rsidR="00964093" w:rsidRPr="00873F20">
        <w:rPr>
          <w:rFonts w:ascii="Arial" w:eastAsia="Times New Roman" w:hAnsi="Arial" w:cs="Arial"/>
          <w:lang w:val="fr-FR"/>
        </w:rPr>
        <w:t xml:space="preserve">basée en Italie </w:t>
      </w:r>
      <w:r w:rsidR="001E5A0B" w:rsidRPr="00873F20">
        <w:rPr>
          <w:rFonts w:ascii="Arial" w:eastAsia="Times New Roman" w:hAnsi="Arial" w:cs="Arial"/>
          <w:lang w:val="fr-FR"/>
        </w:rPr>
        <w:t>ne comportait, en 2015, qu’un seul bâtiment de commandement et quatre destroyers (Altman, 2015).</w:t>
      </w:r>
    </w:p>
    <w:p w14:paraId="453E4275" w14:textId="77777777" w:rsidR="00F0745C" w:rsidRPr="00873F20" w:rsidRDefault="00F0745C" w:rsidP="005D5967"/>
    <w:p w14:paraId="00884AE4" w14:textId="43524F48" w:rsidR="00F0745C" w:rsidRPr="00873F20" w:rsidRDefault="00964093" w:rsidP="00825AB9">
      <w:pPr>
        <w:pStyle w:val="ListParagraph"/>
        <w:numPr>
          <w:ilvl w:val="0"/>
          <w:numId w:val="23"/>
        </w:numPr>
        <w:jc w:val="both"/>
        <w:rPr>
          <w:rFonts w:ascii="Arial" w:eastAsia="Times New Roman" w:hAnsi="Arial" w:cs="Arial"/>
          <w:lang w:val="fr-FR"/>
        </w:rPr>
      </w:pPr>
      <w:r w:rsidRPr="00873F20">
        <w:rPr>
          <w:rFonts w:ascii="Arial" w:eastAsia="Times New Roman" w:hAnsi="Arial" w:cs="Arial"/>
          <w:lang w:val="fr-FR"/>
        </w:rPr>
        <w:t>Même si</w:t>
      </w:r>
      <w:r w:rsidR="00F0745C" w:rsidRPr="00873F20">
        <w:rPr>
          <w:rFonts w:ascii="Arial" w:eastAsia="Times New Roman" w:hAnsi="Arial" w:cs="Arial"/>
          <w:lang w:val="fr-FR"/>
        </w:rPr>
        <w:t xml:space="preserve"> </w:t>
      </w:r>
      <w:r w:rsidR="004F3B9A" w:rsidRPr="00873F20">
        <w:rPr>
          <w:rFonts w:ascii="Arial" w:eastAsia="Times New Roman" w:hAnsi="Arial" w:cs="Arial"/>
          <w:lang w:val="fr-FR"/>
        </w:rPr>
        <w:t>cette</w:t>
      </w:r>
      <w:r w:rsidR="00F0745C" w:rsidRPr="00873F20">
        <w:rPr>
          <w:rFonts w:ascii="Arial" w:eastAsia="Times New Roman" w:hAnsi="Arial" w:cs="Arial"/>
          <w:lang w:val="fr-FR"/>
        </w:rPr>
        <w:t xml:space="preserve"> bulle A2/AD déborde sur le territoire de l’Alliance en Turquie, en Bulgarie et</w:t>
      </w:r>
      <w:r w:rsidR="002A3B19">
        <w:rPr>
          <w:rFonts w:ascii="Arial" w:eastAsia="Times New Roman" w:hAnsi="Arial" w:cs="Arial"/>
          <w:lang w:val="fr-FR"/>
        </w:rPr>
        <w:t xml:space="preserve"> en Roumanie, elle n’empêchera</w:t>
      </w:r>
      <w:r w:rsidR="00F0745C" w:rsidRPr="00873F20">
        <w:rPr>
          <w:rFonts w:ascii="Arial" w:eastAsia="Times New Roman" w:hAnsi="Arial" w:cs="Arial"/>
          <w:lang w:val="fr-FR"/>
        </w:rPr>
        <w:t xml:space="preserve"> pas l’OTAN de diriger des renforts vers ces pays en cas de conflit ouvert, </w:t>
      </w:r>
      <w:r w:rsidR="00765441" w:rsidRPr="00873F20">
        <w:rPr>
          <w:rFonts w:ascii="Arial" w:eastAsia="Times New Roman" w:hAnsi="Arial" w:cs="Arial"/>
          <w:lang w:val="fr-FR"/>
        </w:rPr>
        <w:t xml:space="preserve">car </w:t>
      </w:r>
      <w:r w:rsidR="00F0745C" w:rsidRPr="00873F20">
        <w:rPr>
          <w:rFonts w:ascii="Arial" w:eastAsia="Times New Roman" w:hAnsi="Arial" w:cs="Arial"/>
          <w:lang w:val="fr-FR"/>
        </w:rPr>
        <w:t xml:space="preserve">tous trois </w:t>
      </w:r>
      <w:r w:rsidR="00765441" w:rsidRPr="00873F20">
        <w:rPr>
          <w:rFonts w:ascii="Arial" w:eastAsia="Times New Roman" w:hAnsi="Arial" w:cs="Arial"/>
          <w:lang w:val="fr-FR"/>
        </w:rPr>
        <w:t xml:space="preserve">sont </w:t>
      </w:r>
      <w:r w:rsidR="00F0745C" w:rsidRPr="00873F20">
        <w:rPr>
          <w:rFonts w:ascii="Arial" w:eastAsia="Times New Roman" w:hAnsi="Arial" w:cs="Arial"/>
          <w:lang w:val="fr-FR"/>
        </w:rPr>
        <w:t>desservis par des itinéraires altern</w:t>
      </w:r>
      <w:r w:rsidRPr="00873F20">
        <w:rPr>
          <w:rFonts w:ascii="Arial" w:eastAsia="Times New Roman" w:hAnsi="Arial" w:cs="Arial"/>
          <w:lang w:val="fr-FR"/>
        </w:rPr>
        <w:t xml:space="preserve">atifs. Autrement dit, le dispositif </w:t>
      </w:r>
      <w:r w:rsidR="00F0745C" w:rsidRPr="00873F20">
        <w:rPr>
          <w:rFonts w:ascii="Arial" w:eastAsia="Times New Roman" w:hAnsi="Arial" w:cs="Arial"/>
          <w:lang w:val="fr-FR"/>
        </w:rPr>
        <w:t xml:space="preserve">A2/AD de la Russie en </w:t>
      </w:r>
      <w:r w:rsidRPr="00873F20">
        <w:rPr>
          <w:rFonts w:ascii="Arial" w:eastAsia="Times New Roman" w:hAnsi="Arial" w:cs="Arial"/>
          <w:lang w:val="fr-FR"/>
        </w:rPr>
        <w:t xml:space="preserve">mer Noire, </w:t>
      </w:r>
      <w:r w:rsidR="004B764B" w:rsidRPr="00873F20">
        <w:rPr>
          <w:rFonts w:ascii="Arial" w:eastAsia="Times New Roman" w:hAnsi="Arial" w:cs="Arial"/>
          <w:lang w:val="fr-FR"/>
        </w:rPr>
        <w:t>malgré son</w:t>
      </w:r>
      <w:r w:rsidRPr="00873F20">
        <w:rPr>
          <w:rFonts w:ascii="Arial" w:eastAsia="Times New Roman" w:hAnsi="Arial" w:cs="Arial"/>
          <w:lang w:val="fr-FR"/>
        </w:rPr>
        <w:t xml:space="preserve"> important potentiel défensif et </w:t>
      </w:r>
      <w:r w:rsidR="004B764B" w:rsidRPr="00873F20">
        <w:rPr>
          <w:rFonts w:ascii="Arial" w:eastAsia="Times New Roman" w:hAnsi="Arial" w:cs="Arial"/>
          <w:lang w:val="fr-FR"/>
        </w:rPr>
        <w:t xml:space="preserve">bien que susceptible, </w:t>
      </w:r>
      <w:r w:rsidR="00F0745C" w:rsidRPr="00873F20">
        <w:rPr>
          <w:rFonts w:ascii="Arial" w:eastAsia="Times New Roman" w:hAnsi="Arial" w:cs="Arial"/>
          <w:lang w:val="fr-FR"/>
        </w:rPr>
        <w:t xml:space="preserve">politiquement parlant, d’intimider les pays bordant la mer Noire, ne menace pas de </w:t>
      </w:r>
      <w:r w:rsidR="00765441" w:rsidRPr="00873F20">
        <w:rPr>
          <w:rFonts w:ascii="Arial" w:eastAsia="Times New Roman" w:hAnsi="Arial" w:cs="Arial"/>
          <w:lang w:val="fr-FR"/>
        </w:rPr>
        <w:t>faire disparaître</w:t>
      </w:r>
      <w:r w:rsidR="00F0745C" w:rsidRPr="00873F20">
        <w:rPr>
          <w:rFonts w:ascii="Arial" w:eastAsia="Times New Roman" w:hAnsi="Arial" w:cs="Arial"/>
          <w:lang w:val="fr-FR"/>
        </w:rPr>
        <w:t xml:space="preserve"> les défenses de l’OTAN dans la région. Certaines sources indiquent toutefois que la Russie a déployé, ou projette de déployer, des missiles </w:t>
      </w:r>
      <w:proofErr w:type="spellStart"/>
      <w:r w:rsidR="00F0745C" w:rsidRPr="00873F20">
        <w:rPr>
          <w:rFonts w:ascii="Arial" w:eastAsia="Times New Roman" w:hAnsi="Arial" w:cs="Arial"/>
          <w:lang w:val="fr-FR"/>
        </w:rPr>
        <w:t>Iskander</w:t>
      </w:r>
      <w:proofErr w:type="spellEnd"/>
      <w:r w:rsidR="00F0745C" w:rsidRPr="00873F20">
        <w:rPr>
          <w:rFonts w:ascii="Arial" w:eastAsia="Times New Roman" w:hAnsi="Arial" w:cs="Arial"/>
          <w:lang w:val="fr-FR"/>
        </w:rPr>
        <w:t xml:space="preserve"> à capacité nucléaire en Crimée (Wi</w:t>
      </w:r>
      <w:r w:rsidR="004B764B" w:rsidRPr="00873F20">
        <w:rPr>
          <w:rFonts w:ascii="Arial" w:eastAsia="Times New Roman" w:hAnsi="Arial" w:cs="Arial"/>
          <w:lang w:val="fr-FR"/>
        </w:rPr>
        <w:t xml:space="preserve">lson 2016), et ce en réponse, dit-on, </w:t>
      </w:r>
      <w:r w:rsidR="00F0745C" w:rsidRPr="00873F20">
        <w:rPr>
          <w:rFonts w:ascii="Arial" w:eastAsia="Times New Roman" w:hAnsi="Arial" w:cs="Arial"/>
          <w:lang w:val="fr-FR"/>
        </w:rPr>
        <w:t>à l’</w:t>
      </w:r>
      <w:r w:rsidR="00765441" w:rsidRPr="00873F20">
        <w:rPr>
          <w:rFonts w:ascii="Arial" w:eastAsia="Times New Roman" w:hAnsi="Arial" w:cs="Arial"/>
          <w:lang w:val="fr-FR"/>
        </w:rPr>
        <w:t>installation BMD d</w:t>
      </w:r>
      <w:r w:rsidR="00F0745C" w:rsidRPr="00873F20">
        <w:rPr>
          <w:rFonts w:ascii="Arial" w:eastAsia="Times New Roman" w:hAnsi="Arial" w:cs="Arial"/>
          <w:lang w:val="fr-FR"/>
        </w:rPr>
        <w:t>e</w:t>
      </w:r>
      <w:r w:rsidR="00765441" w:rsidRPr="00873F20">
        <w:rPr>
          <w:rFonts w:ascii="Arial" w:eastAsia="Times New Roman" w:hAnsi="Arial" w:cs="Arial"/>
          <w:lang w:val="fr-FR"/>
        </w:rPr>
        <w:t xml:space="preserve"> </w:t>
      </w:r>
      <w:r w:rsidR="00F0745C" w:rsidRPr="00873F20">
        <w:rPr>
          <w:rFonts w:ascii="Arial" w:eastAsia="Times New Roman" w:hAnsi="Arial" w:cs="Arial"/>
          <w:lang w:val="fr-FR"/>
        </w:rPr>
        <w:t xml:space="preserve">l’OTAN dorénavant opérationnelle (IOC) </w:t>
      </w:r>
      <w:r w:rsidR="004B764B" w:rsidRPr="00873F20">
        <w:rPr>
          <w:rFonts w:ascii="Arial" w:eastAsia="Times New Roman" w:hAnsi="Arial" w:cs="Arial"/>
          <w:lang w:val="fr-FR"/>
        </w:rPr>
        <w:t xml:space="preserve">implantée </w:t>
      </w:r>
      <w:r w:rsidR="00F0745C" w:rsidRPr="00873F20">
        <w:rPr>
          <w:rFonts w:ascii="Arial" w:eastAsia="Times New Roman" w:hAnsi="Arial" w:cs="Arial"/>
          <w:lang w:val="fr-FR"/>
        </w:rPr>
        <w:t xml:space="preserve">à </w:t>
      </w:r>
      <w:proofErr w:type="spellStart"/>
      <w:r w:rsidR="00F0745C" w:rsidRPr="00873F20">
        <w:rPr>
          <w:rFonts w:ascii="Arial" w:eastAsia="Times New Roman" w:hAnsi="Arial" w:cs="Arial"/>
          <w:lang w:val="fr-FR"/>
        </w:rPr>
        <w:t>Deveselu</w:t>
      </w:r>
      <w:proofErr w:type="spellEnd"/>
      <w:r w:rsidR="00F0745C" w:rsidRPr="00873F20">
        <w:rPr>
          <w:rFonts w:ascii="Arial" w:eastAsia="Times New Roman" w:hAnsi="Arial" w:cs="Arial"/>
          <w:lang w:val="fr-FR"/>
        </w:rPr>
        <w:t>, en Roumanie</w:t>
      </w:r>
      <w:r w:rsidR="004B764B" w:rsidRPr="00873F20">
        <w:rPr>
          <w:rFonts w:ascii="Arial" w:eastAsia="Times New Roman" w:hAnsi="Arial" w:cs="Arial"/>
          <w:lang w:val="fr-FR"/>
        </w:rPr>
        <w:t>. On peut objecter que</w:t>
      </w:r>
      <w:r w:rsidR="00765441" w:rsidRPr="00873F20">
        <w:rPr>
          <w:rFonts w:ascii="Arial" w:eastAsia="Times New Roman" w:hAnsi="Arial" w:cs="Arial"/>
          <w:lang w:val="fr-FR"/>
        </w:rPr>
        <w:t xml:space="preserve"> </w:t>
      </w:r>
      <w:r w:rsidR="004B764B" w:rsidRPr="00873F20">
        <w:rPr>
          <w:rFonts w:ascii="Arial" w:eastAsia="Times New Roman" w:hAnsi="Arial" w:cs="Arial"/>
          <w:lang w:val="fr-FR"/>
        </w:rPr>
        <w:t xml:space="preserve">même si ces missiles devaient être déployés en Crimée, ils ne pourraient, vu leur portée officielle </w:t>
      </w:r>
      <w:r w:rsidR="00765441" w:rsidRPr="00873F20">
        <w:rPr>
          <w:rFonts w:ascii="Arial" w:eastAsia="Times New Roman" w:hAnsi="Arial" w:cs="Arial"/>
          <w:lang w:val="fr-FR"/>
        </w:rPr>
        <w:t>(500 km)</w:t>
      </w:r>
      <w:r w:rsidR="004B764B" w:rsidRPr="00873F20">
        <w:rPr>
          <w:rFonts w:ascii="Arial" w:eastAsia="Times New Roman" w:hAnsi="Arial" w:cs="Arial"/>
          <w:lang w:val="fr-FR"/>
        </w:rPr>
        <w:t xml:space="preserve"> atteindre la base en question</w:t>
      </w:r>
      <w:r w:rsidR="00765441" w:rsidRPr="00873F20">
        <w:rPr>
          <w:rFonts w:ascii="Arial" w:eastAsia="Times New Roman" w:hAnsi="Arial" w:cs="Arial"/>
          <w:lang w:val="fr-FR"/>
        </w:rPr>
        <w:t xml:space="preserve">. </w:t>
      </w:r>
      <w:r w:rsidR="004B764B" w:rsidRPr="00873F20">
        <w:rPr>
          <w:rFonts w:ascii="Arial" w:eastAsia="Times New Roman" w:hAnsi="Arial" w:cs="Arial"/>
          <w:lang w:val="fr-FR"/>
        </w:rPr>
        <w:t>Par ailleurs, si</w:t>
      </w:r>
      <w:r w:rsidR="00765441" w:rsidRPr="00873F20">
        <w:rPr>
          <w:rFonts w:ascii="Arial" w:eastAsia="Times New Roman" w:hAnsi="Arial" w:cs="Arial"/>
          <w:lang w:val="fr-FR"/>
        </w:rPr>
        <w:t xml:space="preserve"> la Russie </w:t>
      </w:r>
      <w:r w:rsidR="004B764B" w:rsidRPr="00873F20">
        <w:rPr>
          <w:rFonts w:ascii="Arial" w:eastAsia="Times New Roman" w:hAnsi="Arial" w:cs="Arial"/>
          <w:lang w:val="fr-FR"/>
        </w:rPr>
        <w:t xml:space="preserve">devait, pour contourner cet </w:t>
      </w:r>
      <w:r w:rsidR="002A3B19">
        <w:rPr>
          <w:rFonts w:ascii="Arial" w:eastAsia="Times New Roman" w:hAnsi="Arial" w:cs="Arial"/>
          <w:lang w:val="fr-FR"/>
        </w:rPr>
        <w:t>écueil, accroître la portée des</w:t>
      </w:r>
      <w:r w:rsidR="004B764B" w:rsidRPr="00873F20">
        <w:rPr>
          <w:rFonts w:ascii="Arial" w:eastAsia="Times New Roman" w:hAnsi="Arial" w:cs="Arial"/>
          <w:lang w:val="fr-FR"/>
        </w:rPr>
        <w:t xml:space="preserve">dits missiles, elle se placerait en </w:t>
      </w:r>
      <w:r w:rsidR="00765441" w:rsidRPr="00873F20">
        <w:rPr>
          <w:rFonts w:ascii="Arial" w:eastAsia="Times New Roman" w:hAnsi="Arial" w:cs="Arial"/>
          <w:lang w:val="fr-FR"/>
        </w:rPr>
        <w:t xml:space="preserve">violation directe du Traité de 1987 sur les forces nucléaires à </w:t>
      </w:r>
      <w:r w:rsidR="0038588C" w:rsidRPr="00873F20">
        <w:rPr>
          <w:rFonts w:ascii="Arial" w:eastAsia="Times New Roman" w:hAnsi="Arial" w:cs="Arial"/>
          <w:lang w:val="fr-FR"/>
        </w:rPr>
        <w:t>portée</w:t>
      </w:r>
      <w:r w:rsidR="00765441" w:rsidRPr="00873F20">
        <w:rPr>
          <w:rFonts w:ascii="Arial" w:eastAsia="Times New Roman" w:hAnsi="Arial" w:cs="Arial"/>
          <w:lang w:val="fr-FR"/>
        </w:rPr>
        <w:t xml:space="preserve"> intermédiaire (FNI), qui bannit tous les missiles balistiques et de croisière basés à terre dont la portée est comprise entre 500 </w:t>
      </w:r>
      <w:r w:rsidR="000C0DE5" w:rsidRPr="00873F20">
        <w:rPr>
          <w:rFonts w:ascii="Arial" w:eastAsia="Times New Roman" w:hAnsi="Arial" w:cs="Arial"/>
          <w:lang w:val="fr-FR"/>
        </w:rPr>
        <w:t xml:space="preserve">et </w:t>
      </w:r>
      <w:r w:rsidR="0038588C" w:rsidRPr="00873F20">
        <w:rPr>
          <w:rFonts w:ascii="Arial" w:eastAsia="Times New Roman" w:hAnsi="Arial" w:cs="Arial"/>
          <w:lang w:val="fr-FR"/>
        </w:rPr>
        <w:t>5 500 km (</w:t>
      </w:r>
      <w:proofErr w:type="spellStart"/>
      <w:r w:rsidR="0038588C" w:rsidRPr="00873F20">
        <w:rPr>
          <w:rFonts w:ascii="Arial" w:eastAsia="Times New Roman" w:hAnsi="Arial" w:cs="Arial"/>
          <w:lang w:val="fr-FR"/>
        </w:rPr>
        <w:t>Felg</w:t>
      </w:r>
      <w:r w:rsidR="00765441" w:rsidRPr="00873F20">
        <w:rPr>
          <w:rFonts w:ascii="Arial" w:eastAsia="Times New Roman" w:hAnsi="Arial" w:cs="Arial"/>
          <w:lang w:val="fr-FR"/>
        </w:rPr>
        <w:t>e</w:t>
      </w:r>
      <w:r w:rsidR="0038588C" w:rsidRPr="00873F20">
        <w:rPr>
          <w:rFonts w:ascii="Arial" w:eastAsia="Times New Roman" w:hAnsi="Arial" w:cs="Arial"/>
          <w:lang w:val="fr-FR"/>
        </w:rPr>
        <w:t>n</w:t>
      </w:r>
      <w:r w:rsidR="00765441" w:rsidRPr="00873F20">
        <w:rPr>
          <w:rFonts w:ascii="Arial" w:eastAsia="Times New Roman" w:hAnsi="Arial" w:cs="Arial"/>
          <w:lang w:val="fr-FR"/>
        </w:rPr>
        <w:t>hauer</w:t>
      </w:r>
      <w:proofErr w:type="spellEnd"/>
      <w:r w:rsidR="00765441" w:rsidRPr="00873F20">
        <w:rPr>
          <w:rFonts w:ascii="Arial" w:eastAsia="Times New Roman" w:hAnsi="Arial" w:cs="Arial"/>
          <w:lang w:val="fr-FR"/>
        </w:rPr>
        <w:t>, 2016 ; Woolf, 2015).</w:t>
      </w:r>
    </w:p>
    <w:p w14:paraId="1208832A" w14:textId="77777777" w:rsidR="000C0DE5" w:rsidRPr="00873F20" w:rsidRDefault="000C0DE5" w:rsidP="005D5967"/>
    <w:p w14:paraId="6B9C8AA4" w14:textId="15407FB5" w:rsidR="000C0DE5" w:rsidRPr="00873F20" w:rsidRDefault="004B764B" w:rsidP="00825AB9">
      <w:pPr>
        <w:pStyle w:val="ListParagraph"/>
        <w:numPr>
          <w:ilvl w:val="0"/>
          <w:numId w:val="23"/>
        </w:numPr>
        <w:jc w:val="both"/>
        <w:rPr>
          <w:rFonts w:ascii="Arial" w:eastAsia="Times New Roman" w:hAnsi="Arial" w:cs="Arial"/>
          <w:lang w:val="fr-FR"/>
        </w:rPr>
      </w:pPr>
      <w:r w:rsidRPr="00873F20">
        <w:rPr>
          <w:rFonts w:ascii="Arial" w:eastAsia="Times New Roman" w:hAnsi="Arial" w:cs="Arial"/>
          <w:lang w:val="fr-FR"/>
        </w:rPr>
        <w:t>La</w:t>
      </w:r>
      <w:r w:rsidR="0078585E" w:rsidRPr="00873F20">
        <w:rPr>
          <w:rFonts w:ascii="Arial" w:eastAsia="Times New Roman" w:hAnsi="Arial" w:cs="Arial"/>
          <w:lang w:val="fr-FR"/>
        </w:rPr>
        <w:t xml:space="preserve"> </w:t>
      </w:r>
      <w:r w:rsidR="000C0DE5" w:rsidRPr="00873F20">
        <w:rPr>
          <w:rFonts w:ascii="Arial" w:eastAsia="Times New Roman" w:hAnsi="Arial" w:cs="Arial"/>
          <w:b/>
          <w:lang w:val="fr-FR"/>
        </w:rPr>
        <w:t>Méditerranée orientale</w:t>
      </w:r>
      <w:r w:rsidRPr="00873F20">
        <w:rPr>
          <w:rFonts w:ascii="Arial" w:eastAsia="Times New Roman" w:hAnsi="Arial" w:cs="Arial"/>
          <w:lang w:val="fr-FR"/>
        </w:rPr>
        <w:t xml:space="preserve"> est couverte par </w:t>
      </w:r>
      <w:r w:rsidR="0078585E" w:rsidRPr="00873F20">
        <w:rPr>
          <w:rFonts w:ascii="Arial" w:eastAsia="Times New Roman" w:hAnsi="Arial" w:cs="Arial"/>
          <w:lang w:val="fr-FR"/>
        </w:rPr>
        <w:t xml:space="preserve">la bulle A2/AD </w:t>
      </w:r>
      <w:r w:rsidR="007C2BF7" w:rsidRPr="00873F20">
        <w:rPr>
          <w:rFonts w:ascii="Arial" w:eastAsia="Times New Roman" w:hAnsi="Arial" w:cs="Arial"/>
          <w:lang w:val="fr-FR"/>
        </w:rPr>
        <w:t xml:space="preserve">navale et de surface </w:t>
      </w:r>
      <w:r w:rsidR="0078585E" w:rsidRPr="00873F20">
        <w:rPr>
          <w:rFonts w:ascii="Arial" w:eastAsia="Times New Roman" w:hAnsi="Arial" w:cs="Arial"/>
          <w:lang w:val="fr-FR"/>
        </w:rPr>
        <w:t xml:space="preserve">créée par les missiles de croisière antinavires </w:t>
      </w:r>
      <w:proofErr w:type="spellStart"/>
      <w:r w:rsidR="0078585E" w:rsidRPr="00873F20">
        <w:rPr>
          <w:rFonts w:ascii="Arial" w:eastAsia="Times New Roman" w:hAnsi="Arial" w:cs="Arial"/>
          <w:lang w:val="fr-FR"/>
        </w:rPr>
        <w:t>Yakhont</w:t>
      </w:r>
      <w:proofErr w:type="spellEnd"/>
      <w:r w:rsidR="0078585E" w:rsidRPr="00873F20">
        <w:rPr>
          <w:rFonts w:ascii="Arial" w:eastAsia="Times New Roman" w:hAnsi="Arial" w:cs="Arial"/>
          <w:lang w:val="fr-FR"/>
        </w:rPr>
        <w:t xml:space="preserve"> déployés en Syrie (Altman, 2015). En outre, d’après la télévision russe, la base aérienne de </w:t>
      </w:r>
      <w:proofErr w:type="spellStart"/>
      <w:r w:rsidR="002A3B19">
        <w:rPr>
          <w:rFonts w:ascii="Arial" w:eastAsia="Times New Roman" w:hAnsi="Arial" w:cs="Arial"/>
          <w:lang w:val="fr-FR"/>
        </w:rPr>
        <w:t>Hmeimim</w:t>
      </w:r>
      <w:proofErr w:type="spellEnd"/>
      <w:r w:rsidR="0078585E" w:rsidRPr="00873F20">
        <w:rPr>
          <w:rFonts w:ascii="Arial" w:eastAsia="Times New Roman" w:hAnsi="Arial" w:cs="Arial"/>
          <w:lang w:val="fr-FR"/>
        </w:rPr>
        <w:t xml:space="preserve"> </w:t>
      </w:r>
      <w:r w:rsidR="00D01040" w:rsidRPr="00873F20">
        <w:rPr>
          <w:rFonts w:ascii="Arial" w:eastAsia="Times New Roman" w:hAnsi="Arial" w:cs="Arial"/>
          <w:lang w:val="fr-FR"/>
        </w:rPr>
        <w:t>a reçu</w:t>
      </w:r>
      <w:r w:rsidR="0078585E" w:rsidRPr="00873F20">
        <w:rPr>
          <w:rFonts w:ascii="Arial" w:eastAsia="Times New Roman" w:hAnsi="Arial" w:cs="Arial"/>
          <w:lang w:val="fr-FR"/>
        </w:rPr>
        <w:t xml:space="preserve"> des systèmes de missiles S-400 après qu’un chasseur russe eut été abattu le 24 novembre (</w:t>
      </w:r>
      <w:proofErr w:type="spellStart"/>
      <w:r w:rsidR="0078585E" w:rsidRPr="00ED73B8">
        <w:rPr>
          <w:rFonts w:ascii="Arial" w:eastAsia="Times New Roman" w:hAnsi="Arial" w:cs="Arial"/>
          <w:i/>
          <w:lang w:val="fr-FR"/>
        </w:rPr>
        <w:t>Russia</w:t>
      </w:r>
      <w:proofErr w:type="spellEnd"/>
      <w:r w:rsidR="0078585E" w:rsidRPr="00ED73B8">
        <w:rPr>
          <w:rFonts w:ascii="Arial" w:eastAsia="Times New Roman" w:hAnsi="Arial" w:cs="Arial"/>
          <w:i/>
          <w:lang w:val="fr-FR"/>
        </w:rPr>
        <w:t xml:space="preserve"> </w:t>
      </w:r>
      <w:proofErr w:type="spellStart"/>
      <w:r w:rsidR="0078585E" w:rsidRPr="00ED73B8">
        <w:rPr>
          <w:rFonts w:ascii="Arial" w:eastAsia="Times New Roman" w:hAnsi="Arial" w:cs="Arial"/>
          <w:i/>
          <w:lang w:val="fr-FR"/>
        </w:rPr>
        <w:t>Today</w:t>
      </w:r>
      <w:proofErr w:type="spellEnd"/>
      <w:r w:rsidR="0078585E" w:rsidRPr="00873F20">
        <w:rPr>
          <w:rFonts w:ascii="Arial" w:eastAsia="Times New Roman" w:hAnsi="Arial" w:cs="Arial"/>
          <w:lang w:val="fr-FR"/>
        </w:rPr>
        <w:t>, 2015). Diverses sources indiquent par ailleurs que la Russie a déployé au moins un système de missile</w:t>
      </w:r>
      <w:r w:rsidR="00D01040" w:rsidRPr="00873F20">
        <w:rPr>
          <w:rFonts w:ascii="Arial" w:eastAsia="Times New Roman" w:hAnsi="Arial" w:cs="Arial"/>
          <w:lang w:val="fr-FR"/>
        </w:rPr>
        <w:t>s</w:t>
      </w:r>
      <w:r w:rsidR="002A3B19">
        <w:rPr>
          <w:rFonts w:ascii="Arial" w:eastAsia="Times New Roman" w:hAnsi="Arial" w:cs="Arial"/>
          <w:lang w:val="fr-FR"/>
        </w:rPr>
        <w:t xml:space="preserve"> </w:t>
      </w:r>
      <w:proofErr w:type="spellStart"/>
      <w:r w:rsidR="002A3B19">
        <w:rPr>
          <w:rFonts w:ascii="Arial" w:eastAsia="Times New Roman" w:hAnsi="Arial" w:cs="Arial"/>
          <w:lang w:val="fr-FR"/>
        </w:rPr>
        <w:t>Iskander</w:t>
      </w:r>
      <w:proofErr w:type="spellEnd"/>
      <w:r w:rsidR="002A3B19">
        <w:rPr>
          <w:rFonts w:ascii="Arial" w:eastAsia="Times New Roman" w:hAnsi="Arial" w:cs="Arial"/>
          <w:lang w:val="fr-FR"/>
        </w:rPr>
        <w:t xml:space="preserve"> à </w:t>
      </w:r>
      <w:proofErr w:type="spellStart"/>
      <w:r w:rsidR="002A3B19">
        <w:rPr>
          <w:rFonts w:ascii="Arial" w:eastAsia="Times New Roman" w:hAnsi="Arial" w:cs="Arial"/>
          <w:lang w:val="fr-FR"/>
        </w:rPr>
        <w:t>H</w:t>
      </w:r>
      <w:r w:rsidR="0078585E" w:rsidRPr="00873F20">
        <w:rPr>
          <w:rFonts w:ascii="Arial" w:eastAsia="Times New Roman" w:hAnsi="Arial" w:cs="Arial"/>
          <w:lang w:val="fr-FR"/>
        </w:rPr>
        <w:t>meimim</w:t>
      </w:r>
      <w:proofErr w:type="spellEnd"/>
      <w:r w:rsidR="0078585E" w:rsidRPr="00873F20">
        <w:rPr>
          <w:rFonts w:ascii="Arial" w:eastAsia="Times New Roman" w:hAnsi="Arial" w:cs="Arial"/>
          <w:lang w:val="fr-FR"/>
        </w:rPr>
        <w:t xml:space="preserve"> en 2016, </w:t>
      </w:r>
      <w:r w:rsidR="00D01040" w:rsidRPr="00873F20">
        <w:rPr>
          <w:rFonts w:ascii="Arial" w:eastAsia="Times New Roman" w:hAnsi="Arial" w:cs="Arial"/>
          <w:lang w:val="fr-FR"/>
        </w:rPr>
        <w:t xml:space="preserve">bien que l’on ne sache pas </w:t>
      </w:r>
      <w:r w:rsidR="0078585E" w:rsidRPr="00873F20">
        <w:rPr>
          <w:rFonts w:ascii="Arial" w:eastAsia="Times New Roman" w:hAnsi="Arial" w:cs="Arial"/>
          <w:lang w:val="fr-FR"/>
        </w:rPr>
        <w:t>s’il s’agit de la version balistique ou de croisière (</w:t>
      </w:r>
      <w:proofErr w:type="spellStart"/>
      <w:r w:rsidR="0078585E" w:rsidRPr="00873F20">
        <w:rPr>
          <w:rFonts w:ascii="Arial" w:eastAsia="Times New Roman" w:hAnsi="Arial" w:cs="Arial"/>
          <w:lang w:val="fr-FR"/>
        </w:rPr>
        <w:t>Binnie</w:t>
      </w:r>
      <w:proofErr w:type="spellEnd"/>
      <w:r w:rsidR="0078585E" w:rsidRPr="00873F20">
        <w:rPr>
          <w:rFonts w:ascii="Arial" w:eastAsia="Times New Roman" w:hAnsi="Arial" w:cs="Arial"/>
          <w:lang w:val="fr-FR"/>
        </w:rPr>
        <w:t xml:space="preserve">, 2016). </w:t>
      </w:r>
      <w:r w:rsidR="00D01040" w:rsidRPr="00873F20">
        <w:rPr>
          <w:rFonts w:ascii="Arial" w:eastAsia="Times New Roman" w:hAnsi="Arial" w:cs="Arial"/>
          <w:lang w:val="fr-FR"/>
        </w:rPr>
        <w:t xml:space="preserve">Cette bulle A2/AD en Syrie a plutôt fait ses preuves : il suffit en effet de constater </w:t>
      </w:r>
      <w:r w:rsidR="003946F8" w:rsidRPr="00873F20">
        <w:rPr>
          <w:rFonts w:ascii="Arial" w:eastAsia="Times New Roman" w:hAnsi="Arial" w:cs="Arial"/>
          <w:lang w:val="fr-FR"/>
        </w:rPr>
        <w:t>que</w:t>
      </w:r>
      <w:r w:rsidR="002A3B19">
        <w:rPr>
          <w:rFonts w:ascii="Arial" w:eastAsia="Times New Roman" w:hAnsi="Arial" w:cs="Arial"/>
          <w:lang w:val="fr-FR"/>
        </w:rPr>
        <w:t xml:space="preserve"> la f</w:t>
      </w:r>
      <w:r w:rsidR="0078585E" w:rsidRPr="00873F20">
        <w:rPr>
          <w:rFonts w:ascii="Arial" w:eastAsia="Times New Roman" w:hAnsi="Arial" w:cs="Arial"/>
          <w:lang w:val="fr-FR"/>
        </w:rPr>
        <w:t xml:space="preserve">lotte de la mer Noire </w:t>
      </w:r>
      <w:r w:rsidR="007C2BF7" w:rsidRPr="00873F20">
        <w:rPr>
          <w:rFonts w:ascii="Arial" w:eastAsia="Times New Roman" w:hAnsi="Arial" w:cs="Arial"/>
          <w:lang w:val="fr-FR"/>
        </w:rPr>
        <w:t>accède assez facilement à T</w:t>
      </w:r>
      <w:r w:rsidR="0078585E" w:rsidRPr="00873F20">
        <w:rPr>
          <w:rFonts w:ascii="Arial" w:eastAsia="Times New Roman" w:hAnsi="Arial" w:cs="Arial"/>
          <w:lang w:val="fr-FR"/>
        </w:rPr>
        <w:t xml:space="preserve">artous en temps de paix et que la Russie a </w:t>
      </w:r>
      <w:r w:rsidR="0038588C" w:rsidRPr="00873F20">
        <w:rPr>
          <w:rFonts w:ascii="Arial" w:eastAsia="Times New Roman" w:hAnsi="Arial" w:cs="Arial"/>
          <w:lang w:val="fr-FR"/>
        </w:rPr>
        <w:t>déjà</w:t>
      </w:r>
      <w:r w:rsidR="0078585E" w:rsidRPr="00873F20">
        <w:rPr>
          <w:rFonts w:ascii="Arial" w:eastAsia="Times New Roman" w:hAnsi="Arial" w:cs="Arial"/>
          <w:lang w:val="fr-FR"/>
        </w:rPr>
        <w:t xml:space="preserve"> fait usage de </w:t>
      </w:r>
      <w:r w:rsidR="003946F8" w:rsidRPr="00873F20">
        <w:rPr>
          <w:rFonts w:ascii="Arial" w:eastAsia="Times New Roman" w:hAnsi="Arial" w:cs="Arial"/>
          <w:lang w:val="fr-FR"/>
        </w:rPr>
        <w:t xml:space="preserve">ses </w:t>
      </w:r>
      <w:r w:rsidR="0078585E" w:rsidRPr="00873F20">
        <w:rPr>
          <w:rFonts w:ascii="Arial" w:eastAsia="Times New Roman" w:hAnsi="Arial" w:cs="Arial"/>
          <w:lang w:val="fr-FR"/>
        </w:rPr>
        <w:t>missiles à lanceur sous-marin contre les forces opposées à Assad</w:t>
      </w:r>
      <w:r w:rsidR="00D01040" w:rsidRPr="00873F20">
        <w:rPr>
          <w:rFonts w:ascii="Arial" w:eastAsia="Times New Roman" w:hAnsi="Arial" w:cs="Arial"/>
          <w:lang w:val="fr-FR"/>
        </w:rPr>
        <w:t>. Et la présence maritime relativement peu importante de l’OTAN en Méditerranée vient encore renforcer ce constat.</w:t>
      </w:r>
    </w:p>
    <w:p w14:paraId="383D722C" w14:textId="77777777" w:rsidR="003946F8" w:rsidRPr="00873F20" w:rsidRDefault="003946F8" w:rsidP="005D5967"/>
    <w:p w14:paraId="2851D71B" w14:textId="7385D4AF" w:rsidR="003946F8" w:rsidRPr="00873F20" w:rsidRDefault="000F0EE9" w:rsidP="00825AB9">
      <w:pPr>
        <w:pStyle w:val="ListParagraph"/>
        <w:numPr>
          <w:ilvl w:val="0"/>
          <w:numId w:val="23"/>
        </w:numPr>
        <w:jc w:val="both"/>
        <w:rPr>
          <w:rFonts w:ascii="Arial" w:eastAsia="Times New Roman" w:hAnsi="Arial" w:cs="Arial"/>
          <w:lang w:val="fr-FR"/>
        </w:rPr>
      </w:pPr>
      <w:r w:rsidRPr="00873F20">
        <w:rPr>
          <w:rFonts w:ascii="Arial" w:eastAsia="Times New Roman" w:hAnsi="Arial" w:cs="Arial"/>
          <w:lang w:val="fr-FR"/>
        </w:rPr>
        <w:t>L</w:t>
      </w:r>
      <w:r w:rsidR="004F3B9A" w:rsidRPr="00873F20">
        <w:rPr>
          <w:rFonts w:ascii="Arial" w:eastAsia="Times New Roman" w:hAnsi="Arial" w:cs="Arial"/>
          <w:lang w:val="fr-FR"/>
        </w:rPr>
        <w:t xml:space="preserve">a consolidation </w:t>
      </w:r>
      <w:r w:rsidRPr="00873F20">
        <w:rPr>
          <w:rFonts w:ascii="Arial" w:eastAsia="Times New Roman" w:hAnsi="Arial" w:cs="Arial"/>
          <w:lang w:val="fr-FR"/>
        </w:rPr>
        <w:t xml:space="preserve">par la Russie de ses capacités A2/AD dans </w:t>
      </w:r>
      <w:r w:rsidRPr="00873F20">
        <w:rPr>
          <w:rFonts w:ascii="Arial" w:eastAsia="Times New Roman" w:hAnsi="Arial" w:cs="Arial"/>
          <w:b/>
          <w:lang w:val="fr-FR"/>
        </w:rPr>
        <w:t>l’Arctique</w:t>
      </w:r>
      <w:r w:rsidRPr="00873F20">
        <w:rPr>
          <w:rFonts w:ascii="Arial" w:eastAsia="Times New Roman" w:hAnsi="Arial" w:cs="Arial"/>
          <w:lang w:val="fr-FR"/>
        </w:rPr>
        <w:t xml:space="preserve"> s’inscrit dans le cadre de son projet plus vaste visant à </w:t>
      </w:r>
      <w:r w:rsidR="00C353D0" w:rsidRPr="00873F20">
        <w:rPr>
          <w:rFonts w:ascii="Arial" w:eastAsia="Times New Roman" w:hAnsi="Arial" w:cs="Arial"/>
          <w:lang w:val="fr-FR"/>
        </w:rPr>
        <w:t>reprendre pied, militairement parlant,</w:t>
      </w:r>
      <w:r w:rsidRPr="00873F20">
        <w:rPr>
          <w:rFonts w:ascii="Arial" w:eastAsia="Times New Roman" w:hAnsi="Arial" w:cs="Arial"/>
          <w:lang w:val="fr-FR"/>
        </w:rPr>
        <w:t xml:space="preserve"> dans le Grand Nord. En décembre 2015, on apprenait par voie de presse que Moscou avait déployé deux systèmes de missiles S-400 sol-air à longue portée en Nouvelle-Zemble ainsi que dans le port iakoute de Tiksi, et d’autres sources font état de la présence de missiles S-300 dans l’archipel François-J</w:t>
      </w:r>
      <w:r w:rsidR="002A3B19">
        <w:rPr>
          <w:rFonts w:ascii="Arial" w:eastAsia="Times New Roman" w:hAnsi="Arial" w:cs="Arial"/>
          <w:lang w:val="fr-FR"/>
        </w:rPr>
        <w:t>oseph, sur les îles de Nouvelle-</w:t>
      </w:r>
      <w:r w:rsidRPr="00873F20">
        <w:rPr>
          <w:rFonts w:ascii="Arial" w:eastAsia="Times New Roman" w:hAnsi="Arial" w:cs="Arial"/>
          <w:lang w:val="fr-FR"/>
        </w:rPr>
        <w:t>Sibérie, en Nouvelle-Zemble et en Terre du Nord (</w:t>
      </w:r>
      <w:proofErr w:type="spellStart"/>
      <w:r w:rsidRPr="00873F20">
        <w:rPr>
          <w:rFonts w:ascii="Arial" w:eastAsia="Times New Roman" w:hAnsi="Arial" w:cs="Arial"/>
          <w:lang w:val="fr-FR"/>
        </w:rPr>
        <w:t>Coffey</w:t>
      </w:r>
      <w:proofErr w:type="spellEnd"/>
      <w:r w:rsidRPr="00873F20">
        <w:rPr>
          <w:rFonts w:ascii="Arial" w:eastAsia="Times New Roman" w:hAnsi="Arial" w:cs="Arial"/>
          <w:lang w:val="fr-FR"/>
        </w:rPr>
        <w:t xml:space="preserve">, </w:t>
      </w:r>
      <w:proofErr w:type="spellStart"/>
      <w:r w:rsidRPr="00873F20">
        <w:rPr>
          <w:rFonts w:ascii="Arial" w:eastAsia="Times New Roman" w:hAnsi="Arial" w:cs="Arial"/>
          <w:lang w:val="fr-FR"/>
        </w:rPr>
        <w:t>Kochis</w:t>
      </w:r>
      <w:proofErr w:type="spellEnd"/>
      <w:r w:rsidRPr="00873F20">
        <w:rPr>
          <w:rFonts w:ascii="Arial" w:eastAsia="Times New Roman" w:hAnsi="Arial" w:cs="Arial"/>
          <w:lang w:val="fr-FR"/>
        </w:rPr>
        <w:t xml:space="preserve">, 2016). </w:t>
      </w:r>
      <w:r w:rsidR="00B760E5" w:rsidRPr="00873F20">
        <w:rPr>
          <w:rFonts w:ascii="Arial" w:eastAsia="Times New Roman" w:hAnsi="Arial" w:cs="Arial"/>
          <w:lang w:val="fr-FR"/>
        </w:rPr>
        <w:t>Ce</w:t>
      </w:r>
      <w:r w:rsidR="00C353D0" w:rsidRPr="00873F20">
        <w:rPr>
          <w:rFonts w:ascii="Arial" w:eastAsia="Times New Roman" w:hAnsi="Arial" w:cs="Arial"/>
          <w:lang w:val="fr-FR"/>
        </w:rPr>
        <w:t>s</w:t>
      </w:r>
      <w:r w:rsidR="00B760E5" w:rsidRPr="00873F20">
        <w:rPr>
          <w:rFonts w:ascii="Arial" w:eastAsia="Times New Roman" w:hAnsi="Arial" w:cs="Arial"/>
          <w:lang w:val="fr-FR"/>
        </w:rPr>
        <w:t xml:space="preserve"> sites sont protégés par des systèmes mobiles de défense aérienne de courte portée Pantsir-S1 équipés de lanceur</w:t>
      </w:r>
      <w:r w:rsidR="003B7FA1" w:rsidRPr="00873F20">
        <w:rPr>
          <w:rFonts w:ascii="Arial" w:eastAsia="Times New Roman" w:hAnsi="Arial" w:cs="Arial"/>
          <w:lang w:val="fr-FR"/>
        </w:rPr>
        <w:t>s</w:t>
      </w:r>
      <w:r w:rsidR="00B760E5" w:rsidRPr="00873F20">
        <w:rPr>
          <w:rFonts w:ascii="Arial" w:eastAsia="Times New Roman" w:hAnsi="Arial" w:cs="Arial"/>
          <w:lang w:val="fr-FR"/>
        </w:rPr>
        <w:t xml:space="preserve"> de missiles sol-air </w:t>
      </w:r>
      <w:proofErr w:type="spellStart"/>
      <w:r w:rsidR="00B760E5" w:rsidRPr="00873F20">
        <w:rPr>
          <w:rFonts w:ascii="Arial" w:eastAsia="Times New Roman" w:hAnsi="Arial" w:cs="Arial"/>
          <w:lang w:val="fr-FR"/>
        </w:rPr>
        <w:t>Igla</w:t>
      </w:r>
      <w:proofErr w:type="spellEnd"/>
      <w:r w:rsidR="00B760E5" w:rsidRPr="00873F20">
        <w:rPr>
          <w:rFonts w:ascii="Arial" w:eastAsia="Times New Roman" w:hAnsi="Arial" w:cs="Arial"/>
          <w:lang w:val="fr-FR"/>
        </w:rPr>
        <w:t>-S et d</w:t>
      </w:r>
      <w:r w:rsidR="00D43698" w:rsidRPr="00873F20">
        <w:rPr>
          <w:rFonts w:ascii="Arial" w:eastAsia="Times New Roman" w:hAnsi="Arial" w:cs="Arial"/>
          <w:lang w:val="fr-FR"/>
        </w:rPr>
        <w:t xml:space="preserve">’affûts </w:t>
      </w:r>
      <w:proofErr w:type="spellStart"/>
      <w:r w:rsidR="00D43698" w:rsidRPr="00873F20">
        <w:rPr>
          <w:rFonts w:ascii="Arial" w:eastAsia="Times New Roman" w:hAnsi="Arial" w:cs="Arial"/>
          <w:lang w:val="fr-FR"/>
        </w:rPr>
        <w:t>bi-tubes</w:t>
      </w:r>
      <w:proofErr w:type="spellEnd"/>
      <w:r w:rsidR="00D43698" w:rsidRPr="00873F20">
        <w:rPr>
          <w:rFonts w:ascii="Arial" w:eastAsia="Times New Roman" w:hAnsi="Arial" w:cs="Arial"/>
          <w:lang w:val="fr-FR"/>
        </w:rPr>
        <w:t xml:space="preserve"> </w:t>
      </w:r>
      <w:proofErr w:type="spellStart"/>
      <w:r w:rsidR="00B760E5" w:rsidRPr="00873F20">
        <w:rPr>
          <w:rFonts w:ascii="Arial" w:eastAsia="Times New Roman" w:hAnsi="Arial" w:cs="Arial"/>
          <w:lang w:val="fr-FR"/>
        </w:rPr>
        <w:t>Djigit</w:t>
      </w:r>
      <w:proofErr w:type="spellEnd"/>
      <w:r w:rsidR="00B760E5" w:rsidRPr="00873F20">
        <w:rPr>
          <w:rFonts w:ascii="Arial" w:eastAsia="Times New Roman" w:hAnsi="Arial" w:cs="Arial"/>
          <w:lang w:val="fr-FR"/>
        </w:rPr>
        <w:t xml:space="preserve"> de 30 </w:t>
      </w:r>
      <w:proofErr w:type="spellStart"/>
      <w:r w:rsidR="00B760E5" w:rsidRPr="00873F20">
        <w:rPr>
          <w:rFonts w:ascii="Arial" w:eastAsia="Times New Roman" w:hAnsi="Arial" w:cs="Arial"/>
          <w:lang w:val="fr-FR"/>
        </w:rPr>
        <w:t>mm</w:t>
      </w:r>
      <w:r w:rsidR="00AE7B83" w:rsidRPr="00873F20">
        <w:rPr>
          <w:rFonts w:ascii="Arial" w:eastAsia="Times New Roman" w:hAnsi="Arial" w:cs="Arial"/>
          <w:lang w:val="fr-FR"/>
        </w:rPr>
        <w:t>.</w:t>
      </w:r>
      <w:proofErr w:type="spellEnd"/>
      <w:r w:rsidR="00AE7B83" w:rsidRPr="00873F20">
        <w:rPr>
          <w:rFonts w:ascii="Arial" w:eastAsia="Times New Roman" w:hAnsi="Arial" w:cs="Arial"/>
          <w:lang w:val="fr-FR"/>
        </w:rPr>
        <w:t xml:space="preserve"> Moscou a égaleme</w:t>
      </w:r>
      <w:r w:rsidR="00B760E5" w:rsidRPr="00873F20">
        <w:rPr>
          <w:rFonts w:ascii="Arial" w:eastAsia="Times New Roman" w:hAnsi="Arial" w:cs="Arial"/>
          <w:lang w:val="fr-FR"/>
        </w:rPr>
        <w:t>n</w:t>
      </w:r>
      <w:r w:rsidR="00AE7B83" w:rsidRPr="00873F20">
        <w:rPr>
          <w:rFonts w:ascii="Arial" w:eastAsia="Times New Roman" w:hAnsi="Arial" w:cs="Arial"/>
          <w:lang w:val="fr-FR"/>
        </w:rPr>
        <w:t>t</w:t>
      </w:r>
      <w:r w:rsidR="00B760E5" w:rsidRPr="00873F20">
        <w:rPr>
          <w:rFonts w:ascii="Arial" w:eastAsia="Times New Roman" w:hAnsi="Arial" w:cs="Arial"/>
          <w:lang w:val="fr-FR"/>
        </w:rPr>
        <w:t xml:space="preserve"> installé en Nouvelle-Zemble des complexes Bastion-P équipés de missiles de croisière antina</w:t>
      </w:r>
      <w:r w:rsidR="00EA1468" w:rsidRPr="00873F20">
        <w:rPr>
          <w:rFonts w:ascii="Arial" w:eastAsia="Times New Roman" w:hAnsi="Arial" w:cs="Arial"/>
          <w:lang w:val="fr-FR"/>
        </w:rPr>
        <w:t xml:space="preserve">vires </w:t>
      </w:r>
      <w:proofErr w:type="spellStart"/>
      <w:r w:rsidR="00B760E5" w:rsidRPr="00873F20">
        <w:rPr>
          <w:rFonts w:ascii="Arial" w:eastAsia="Times New Roman" w:hAnsi="Arial" w:cs="Arial"/>
          <w:lang w:val="fr-FR"/>
        </w:rPr>
        <w:t>Yakhont</w:t>
      </w:r>
      <w:proofErr w:type="spellEnd"/>
      <w:r w:rsidR="00B760E5" w:rsidRPr="00873F20">
        <w:rPr>
          <w:rFonts w:ascii="Arial" w:eastAsia="Times New Roman" w:hAnsi="Arial" w:cs="Arial"/>
          <w:lang w:val="fr-FR"/>
        </w:rPr>
        <w:t xml:space="preserve"> P-800. L’installation de nouvelles bases militaires avancées a par ailleurs contribué à rétablir sur la totalité de la côte septentrionale la couverture radar p</w:t>
      </w:r>
      <w:r w:rsidR="00C8401C">
        <w:rPr>
          <w:rFonts w:ascii="Arial" w:eastAsia="Times New Roman" w:hAnsi="Arial" w:cs="Arial"/>
          <w:lang w:val="fr-FR"/>
        </w:rPr>
        <w:t>erdue dans les années 1990. La f</w:t>
      </w:r>
      <w:r w:rsidR="00B760E5" w:rsidRPr="00873F20">
        <w:rPr>
          <w:rFonts w:ascii="Arial" w:eastAsia="Times New Roman" w:hAnsi="Arial" w:cs="Arial"/>
          <w:lang w:val="fr-FR"/>
        </w:rPr>
        <w:t xml:space="preserve">lotte du Nord </w:t>
      </w:r>
      <w:r w:rsidR="0038588C" w:rsidRPr="00873F20">
        <w:rPr>
          <w:rFonts w:ascii="Arial" w:eastAsia="Times New Roman" w:hAnsi="Arial" w:cs="Arial"/>
          <w:lang w:val="fr-FR"/>
        </w:rPr>
        <w:t>regroupe</w:t>
      </w:r>
      <w:r w:rsidR="00B760E5" w:rsidRPr="00873F20">
        <w:rPr>
          <w:rFonts w:ascii="Arial" w:eastAsia="Times New Roman" w:hAnsi="Arial" w:cs="Arial"/>
          <w:lang w:val="fr-FR"/>
        </w:rPr>
        <w:t xml:space="preserve"> aujourd’hui deux tiers </w:t>
      </w:r>
      <w:r w:rsidR="00BE3125" w:rsidRPr="00873F20">
        <w:rPr>
          <w:rFonts w:ascii="Arial" w:eastAsia="Times New Roman" w:hAnsi="Arial" w:cs="Arial"/>
          <w:lang w:val="fr-FR"/>
        </w:rPr>
        <w:t xml:space="preserve">environ </w:t>
      </w:r>
      <w:r w:rsidR="00B760E5" w:rsidRPr="00873F20">
        <w:rPr>
          <w:rFonts w:ascii="Arial" w:eastAsia="Times New Roman" w:hAnsi="Arial" w:cs="Arial"/>
          <w:lang w:val="fr-FR"/>
        </w:rPr>
        <w:t xml:space="preserve">de la marine russe, </w:t>
      </w:r>
      <w:r w:rsidR="008C0D61" w:rsidRPr="00873F20">
        <w:rPr>
          <w:rFonts w:ascii="Arial" w:eastAsia="Times New Roman" w:hAnsi="Arial" w:cs="Arial"/>
          <w:lang w:val="fr-FR"/>
        </w:rPr>
        <w:t>et</w:t>
      </w:r>
      <w:r w:rsidR="00B760E5" w:rsidRPr="00873F20">
        <w:rPr>
          <w:rFonts w:ascii="Arial" w:eastAsia="Times New Roman" w:hAnsi="Arial" w:cs="Arial"/>
          <w:lang w:val="fr-FR"/>
        </w:rPr>
        <w:t xml:space="preserve"> le théâtre arctique accueille des déploiements permanents de sous-marins et d’autres bâtiments navals dotés de capacités antinavires et anti-aériennes, comme le sous-marin nucléaire d’attaque Severodvinsk.</w:t>
      </w:r>
    </w:p>
    <w:p w14:paraId="61E439D3" w14:textId="77777777" w:rsidR="00B760E5" w:rsidRPr="00873F20" w:rsidRDefault="00B760E5" w:rsidP="005D5967"/>
    <w:p w14:paraId="0B8B35E3" w14:textId="7248F1CC" w:rsidR="00B760E5" w:rsidRPr="00873F20" w:rsidRDefault="00B760E5" w:rsidP="00825AB9">
      <w:pPr>
        <w:pStyle w:val="ListParagraph"/>
        <w:numPr>
          <w:ilvl w:val="0"/>
          <w:numId w:val="23"/>
        </w:numPr>
        <w:jc w:val="both"/>
        <w:rPr>
          <w:rFonts w:ascii="Arial" w:eastAsia="Times New Roman" w:hAnsi="Arial" w:cs="Arial"/>
          <w:lang w:val="fr-FR"/>
        </w:rPr>
      </w:pPr>
      <w:r w:rsidRPr="00873F20">
        <w:rPr>
          <w:rFonts w:ascii="Arial" w:eastAsia="Times New Roman" w:hAnsi="Arial" w:cs="Arial"/>
          <w:lang w:val="fr-FR"/>
        </w:rPr>
        <w:t xml:space="preserve">Pour l’heure, l’évolution de la situation dans </w:t>
      </w:r>
      <w:r w:rsidR="004F3B9A" w:rsidRPr="00873F20">
        <w:rPr>
          <w:rFonts w:ascii="Arial" w:eastAsia="Times New Roman" w:hAnsi="Arial" w:cs="Arial"/>
          <w:lang w:val="fr-FR"/>
        </w:rPr>
        <w:t>l’Arctique</w:t>
      </w:r>
      <w:r w:rsidRPr="00873F20">
        <w:rPr>
          <w:rFonts w:ascii="Arial" w:eastAsia="Times New Roman" w:hAnsi="Arial" w:cs="Arial"/>
          <w:lang w:val="fr-FR"/>
        </w:rPr>
        <w:t xml:space="preserve"> présente nettement moins d’importance pour l’Alliance que l’accumulation de forces similaires constatée dans la région de la Baltique. Cela dit, les Alliés ne partagent pa</w:t>
      </w:r>
      <w:r w:rsidR="00BE3125" w:rsidRPr="00873F20">
        <w:rPr>
          <w:rFonts w:ascii="Arial" w:eastAsia="Times New Roman" w:hAnsi="Arial" w:cs="Arial"/>
          <w:lang w:val="fr-FR"/>
        </w:rPr>
        <w:t>s tous une même évaluation de cette</w:t>
      </w:r>
      <w:r w:rsidRPr="00873F20">
        <w:rPr>
          <w:rFonts w:ascii="Arial" w:eastAsia="Times New Roman" w:hAnsi="Arial" w:cs="Arial"/>
          <w:lang w:val="fr-FR"/>
        </w:rPr>
        <w:t xml:space="preserve"> menace : </w:t>
      </w:r>
      <w:r w:rsidR="00AE7B83" w:rsidRPr="00873F20">
        <w:rPr>
          <w:rFonts w:ascii="Arial" w:eastAsia="Times New Roman" w:hAnsi="Arial" w:cs="Arial"/>
          <w:lang w:val="fr-FR"/>
        </w:rPr>
        <w:t xml:space="preserve">ainsi, </w:t>
      </w:r>
      <w:r w:rsidRPr="00873F20">
        <w:rPr>
          <w:rFonts w:ascii="Arial" w:eastAsia="Times New Roman" w:hAnsi="Arial" w:cs="Arial"/>
          <w:lang w:val="fr-FR"/>
        </w:rPr>
        <w:t xml:space="preserve">la Norvège </w:t>
      </w:r>
      <w:r w:rsidR="00AE7B83" w:rsidRPr="00873F20">
        <w:rPr>
          <w:rFonts w:ascii="Arial" w:eastAsia="Times New Roman" w:hAnsi="Arial" w:cs="Arial"/>
          <w:lang w:val="fr-FR"/>
        </w:rPr>
        <w:t xml:space="preserve">se montre plus intransigeante et souhaite que l’OTAN s’investisse plus énergiquement dans cette question, tandis que le Canada, tout en partageant les </w:t>
      </w:r>
      <w:r w:rsidR="0038588C" w:rsidRPr="00873F20">
        <w:rPr>
          <w:rFonts w:ascii="Arial" w:eastAsia="Times New Roman" w:hAnsi="Arial" w:cs="Arial"/>
          <w:lang w:val="fr-FR"/>
        </w:rPr>
        <w:t>préoccupations</w:t>
      </w:r>
      <w:r w:rsidR="00AE7B83" w:rsidRPr="00873F20">
        <w:rPr>
          <w:rFonts w:ascii="Arial" w:eastAsia="Times New Roman" w:hAnsi="Arial" w:cs="Arial"/>
          <w:lang w:val="fr-FR"/>
        </w:rPr>
        <w:t xml:space="preserve"> d’Oslo, préférerait envisager la sécurité arctique en dehors du cadre de l’OTAN (</w:t>
      </w:r>
      <w:proofErr w:type="spellStart"/>
      <w:r w:rsidR="00AE7B83" w:rsidRPr="00873F20">
        <w:rPr>
          <w:rFonts w:ascii="Arial" w:eastAsia="Times New Roman" w:hAnsi="Arial" w:cs="Arial"/>
          <w:lang w:val="fr-FR"/>
        </w:rPr>
        <w:t>Coffey</w:t>
      </w:r>
      <w:proofErr w:type="spellEnd"/>
      <w:r w:rsidR="00AE7B83" w:rsidRPr="00873F20">
        <w:rPr>
          <w:rFonts w:ascii="Arial" w:eastAsia="Times New Roman" w:hAnsi="Arial" w:cs="Arial"/>
          <w:lang w:val="fr-FR"/>
        </w:rPr>
        <w:t xml:space="preserve">, </w:t>
      </w:r>
      <w:proofErr w:type="spellStart"/>
      <w:r w:rsidR="00AE7B83" w:rsidRPr="00873F20">
        <w:rPr>
          <w:rFonts w:ascii="Arial" w:eastAsia="Times New Roman" w:hAnsi="Arial" w:cs="Arial"/>
          <w:lang w:val="fr-FR"/>
        </w:rPr>
        <w:t>Kochis</w:t>
      </w:r>
      <w:proofErr w:type="spellEnd"/>
      <w:r w:rsidR="00AE7B83" w:rsidRPr="00873F20">
        <w:rPr>
          <w:rFonts w:ascii="Arial" w:eastAsia="Times New Roman" w:hAnsi="Arial" w:cs="Arial"/>
          <w:lang w:val="fr-FR"/>
        </w:rPr>
        <w:t xml:space="preserve">, 2016). Quoiqu’il en soit, les forces russes </w:t>
      </w:r>
      <w:r w:rsidR="005D5967" w:rsidRPr="00873F20">
        <w:rPr>
          <w:rFonts w:ascii="Arial" w:eastAsia="Times New Roman" w:hAnsi="Arial" w:cs="Arial"/>
          <w:lang w:val="fr-FR"/>
        </w:rPr>
        <w:t>présentes dans la région dépassent très largement celles de tous les membres de l’OTAN réunis (Ernst, 2015), et le communiqué du sommet du pays de Galles, pas plus que celui du sommet de Varsovie, ne font figurer l’Arctique au nombre des priorités.</w:t>
      </w:r>
    </w:p>
    <w:p w14:paraId="1C54ECC9" w14:textId="77777777" w:rsidR="005D5967" w:rsidRPr="00873F20" w:rsidRDefault="005D5967" w:rsidP="005D5967">
      <w:pPr>
        <w:pStyle w:val="ListParagraph"/>
        <w:rPr>
          <w:rFonts w:ascii="Arial" w:eastAsia="Times New Roman" w:hAnsi="Arial" w:cs="Arial"/>
          <w:lang w:val="fr-FR"/>
        </w:rPr>
      </w:pPr>
    </w:p>
    <w:p w14:paraId="38D17D6D" w14:textId="52F72C8A" w:rsidR="008C0D61" w:rsidRPr="00873F20" w:rsidRDefault="008C0D61" w:rsidP="008C0D61">
      <w:pPr>
        <w:ind w:left="720"/>
        <w:contextualSpacing/>
      </w:pPr>
    </w:p>
    <w:p w14:paraId="69E095AD" w14:textId="57C59BCF" w:rsidR="005D5967" w:rsidRPr="00C8401C" w:rsidRDefault="003B7FA1" w:rsidP="00C8401C">
      <w:pPr>
        <w:ind w:left="567" w:hanging="567"/>
        <w:contextualSpacing/>
        <w:rPr>
          <w:b/>
        </w:rPr>
      </w:pPr>
      <w:r w:rsidRPr="00C8401C">
        <w:rPr>
          <w:b/>
        </w:rPr>
        <w:t>Les réponses du sommet de Varsovie</w:t>
      </w:r>
    </w:p>
    <w:p w14:paraId="1A10DBED" w14:textId="77777777" w:rsidR="00C8401C" w:rsidRDefault="00C8401C" w:rsidP="00C8401C"/>
    <w:p w14:paraId="590D4206" w14:textId="75687590" w:rsidR="005D5967" w:rsidRPr="00E43218" w:rsidRDefault="003B7FA1" w:rsidP="00C8401C">
      <w:pPr>
        <w:pStyle w:val="ListParagraph"/>
        <w:numPr>
          <w:ilvl w:val="0"/>
          <w:numId w:val="25"/>
        </w:numPr>
        <w:tabs>
          <w:tab w:val="left" w:pos="567"/>
        </w:tabs>
        <w:ind w:left="0" w:firstLine="0"/>
        <w:jc w:val="both"/>
        <w:rPr>
          <w:rFonts w:ascii="Arial" w:hAnsi="Arial" w:cs="Arial"/>
          <w:lang w:val="fr-FR"/>
        </w:rPr>
      </w:pPr>
      <w:r w:rsidRPr="00C8401C">
        <w:rPr>
          <w:rFonts w:ascii="Arial" w:hAnsi="Arial" w:cs="Arial"/>
          <w:lang w:val="fr-FR"/>
        </w:rPr>
        <w:t xml:space="preserve">Les efforts déployés par la Russie pour réunir de </w:t>
      </w:r>
      <w:r w:rsidR="00C8401C" w:rsidRPr="00C8401C">
        <w:rPr>
          <w:rFonts w:ascii="Arial" w:hAnsi="Arial" w:cs="Arial"/>
          <w:lang w:val="fr-FR"/>
        </w:rPr>
        <w:t>gros moyens A2/AD sur le flanc e</w:t>
      </w:r>
      <w:r w:rsidRPr="00C8401C">
        <w:rPr>
          <w:rFonts w:ascii="Arial" w:hAnsi="Arial" w:cs="Arial"/>
          <w:lang w:val="fr-FR"/>
        </w:rPr>
        <w:t xml:space="preserve">st comportent de graves retombées d’ordre stratégique pour </w:t>
      </w:r>
      <w:r w:rsidR="00217DD2" w:rsidRPr="00C8401C">
        <w:rPr>
          <w:rFonts w:ascii="Arial" w:hAnsi="Arial" w:cs="Arial"/>
          <w:lang w:val="fr-FR"/>
        </w:rPr>
        <w:t>l’Alliance</w:t>
      </w:r>
      <w:r w:rsidRPr="00C8401C">
        <w:rPr>
          <w:rFonts w:ascii="Arial" w:hAnsi="Arial" w:cs="Arial"/>
          <w:lang w:val="fr-FR"/>
        </w:rPr>
        <w:t xml:space="preserve">. </w:t>
      </w:r>
      <w:r w:rsidRPr="00E43218">
        <w:rPr>
          <w:rFonts w:ascii="Arial" w:hAnsi="Arial" w:cs="Arial"/>
          <w:lang w:val="fr-FR"/>
        </w:rPr>
        <w:t xml:space="preserve">L’OTAN ne peut en effet continuer à garantir la sécurité sur l’ensemble de sa zone si elle n’est pas en mesure de déplacer des forces en direction ou </w:t>
      </w:r>
      <w:r w:rsidR="00AD0D30" w:rsidRPr="00E43218">
        <w:rPr>
          <w:rFonts w:ascii="Arial" w:hAnsi="Arial" w:cs="Arial"/>
          <w:lang w:val="fr-FR"/>
        </w:rPr>
        <w:t>à l’intérieur</w:t>
      </w:r>
      <w:r w:rsidRPr="00E43218">
        <w:rPr>
          <w:rFonts w:ascii="Arial" w:hAnsi="Arial" w:cs="Arial"/>
          <w:lang w:val="fr-FR"/>
        </w:rPr>
        <w:t xml:space="preserve"> </w:t>
      </w:r>
      <w:r w:rsidR="00217DD2" w:rsidRPr="00E43218">
        <w:rPr>
          <w:rFonts w:ascii="Arial" w:hAnsi="Arial" w:cs="Arial"/>
          <w:lang w:val="fr-FR"/>
        </w:rPr>
        <w:t xml:space="preserve">du territoire </w:t>
      </w:r>
      <w:r w:rsidR="00AD0D30" w:rsidRPr="00E43218">
        <w:rPr>
          <w:rFonts w:ascii="Arial" w:hAnsi="Arial" w:cs="Arial"/>
          <w:lang w:val="fr-FR"/>
        </w:rPr>
        <w:t>allié</w:t>
      </w:r>
      <w:r w:rsidR="00217DD2" w:rsidRPr="00E43218">
        <w:rPr>
          <w:rFonts w:ascii="Arial" w:hAnsi="Arial" w:cs="Arial"/>
          <w:lang w:val="fr-FR"/>
        </w:rPr>
        <w:t xml:space="preserve">. </w:t>
      </w:r>
      <w:r w:rsidR="00AD0D30" w:rsidRPr="00E43218">
        <w:rPr>
          <w:rFonts w:ascii="Arial" w:hAnsi="Arial" w:cs="Arial"/>
          <w:lang w:val="fr-FR"/>
        </w:rPr>
        <w:t xml:space="preserve">Dès lors, </w:t>
      </w:r>
      <w:r w:rsidR="008C0D61" w:rsidRPr="00E43218">
        <w:rPr>
          <w:rFonts w:ascii="Arial" w:hAnsi="Arial" w:cs="Arial"/>
          <w:lang w:val="fr-FR"/>
        </w:rPr>
        <w:t>l’Alliance a annoncé à Varsovie qu’</w:t>
      </w:r>
      <w:r w:rsidR="00C8401C" w:rsidRPr="00E43218">
        <w:rPr>
          <w:rFonts w:ascii="Arial" w:hAnsi="Arial" w:cs="Arial"/>
          <w:lang w:val="fr-FR"/>
        </w:rPr>
        <w:t>hormis</w:t>
      </w:r>
      <w:r w:rsidR="00AD0D30" w:rsidRPr="00E43218">
        <w:rPr>
          <w:rFonts w:ascii="Arial" w:hAnsi="Arial" w:cs="Arial"/>
          <w:lang w:val="fr-FR"/>
        </w:rPr>
        <w:t xml:space="preserve"> la présence renforcée à l’avant qui doit </w:t>
      </w:r>
      <w:r w:rsidR="008C0D61" w:rsidRPr="00E43218">
        <w:rPr>
          <w:rFonts w:ascii="Arial" w:hAnsi="Arial" w:cs="Arial"/>
          <w:lang w:val="fr-FR"/>
        </w:rPr>
        <w:t xml:space="preserve">lui </w:t>
      </w:r>
      <w:r w:rsidR="00AD0D30" w:rsidRPr="00E43218">
        <w:rPr>
          <w:rFonts w:ascii="Arial" w:hAnsi="Arial" w:cs="Arial"/>
          <w:lang w:val="fr-FR"/>
        </w:rPr>
        <w:t>permettre, à l’aide de force</w:t>
      </w:r>
      <w:r w:rsidR="008C0D61" w:rsidRPr="00E43218">
        <w:rPr>
          <w:rFonts w:ascii="Arial" w:hAnsi="Arial" w:cs="Arial"/>
          <w:lang w:val="fr-FR"/>
        </w:rPr>
        <w:t xml:space="preserve">s et d’armes supplémentaires, de </w:t>
      </w:r>
      <w:r w:rsidR="00AD0D30" w:rsidRPr="00E43218">
        <w:rPr>
          <w:rFonts w:ascii="Arial" w:hAnsi="Arial" w:cs="Arial"/>
          <w:lang w:val="fr-FR"/>
        </w:rPr>
        <w:t>renforcer le soutien des États baltes et de la Pologne</w:t>
      </w:r>
      <w:r w:rsidR="00ED73B8">
        <w:rPr>
          <w:rFonts w:ascii="Arial" w:hAnsi="Arial" w:cs="Arial"/>
          <w:lang w:val="fr-FR"/>
        </w:rPr>
        <w:t xml:space="preserve"> (voir</w:t>
      </w:r>
      <w:r w:rsidR="004F3B9A" w:rsidRPr="00E43218">
        <w:rPr>
          <w:rFonts w:ascii="Arial" w:hAnsi="Arial" w:cs="Arial"/>
          <w:lang w:val="fr-FR"/>
        </w:rPr>
        <w:t xml:space="preserve"> plus haut)</w:t>
      </w:r>
      <w:r w:rsidR="008C0D61" w:rsidRPr="00E43218">
        <w:rPr>
          <w:rFonts w:ascii="Arial" w:hAnsi="Arial" w:cs="Arial"/>
          <w:lang w:val="fr-FR"/>
        </w:rPr>
        <w:t xml:space="preserve">, </w:t>
      </w:r>
      <w:r w:rsidR="00AD0D30" w:rsidRPr="00E43218">
        <w:rPr>
          <w:rFonts w:ascii="Arial" w:hAnsi="Arial" w:cs="Arial"/>
          <w:lang w:val="fr-FR"/>
        </w:rPr>
        <w:t xml:space="preserve">elle </w:t>
      </w:r>
      <w:r w:rsidR="008C0D61" w:rsidRPr="00E43218">
        <w:rPr>
          <w:rFonts w:ascii="Arial" w:hAnsi="Arial" w:cs="Arial"/>
          <w:lang w:val="fr-FR"/>
        </w:rPr>
        <w:t xml:space="preserve">prenait également l’engagement de </w:t>
      </w:r>
      <w:r w:rsidR="00AD0D30" w:rsidRPr="00E43218">
        <w:rPr>
          <w:rFonts w:ascii="Arial" w:hAnsi="Arial" w:cs="Arial"/>
          <w:i/>
          <w:lang w:val="fr-FR"/>
        </w:rPr>
        <w:t>projeter la stabilité</w:t>
      </w:r>
      <w:r w:rsidR="00AD0D30" w:rsidRPr="00E43218">
        <w:rPr>
          <w:rFonts w:ascii="Arial" w:hAnsi="Arial" w:cs="Arial"/>
          <w:lang w:val="fr-FR"/>
        </w:rPr>
        <w:t>.</w:t>
      </w:r>
    </w:p>
    <w:p w14:paraId="6CAAC688" w14:textId="77777777" w:rsidR="005D5967" w:rsidRPr="00C8401C" w:rsidRDefault="005D5967" w:rsidP="00C8401C">
      <w:pPr>
        <w:contextualSpacing/>
      </w:pPr>
    </w:p>
    <w:p w14:paraId="05E05F9F" w14:textId="7959B753" w:rsidR="005D5967" w:rsidRPr="00805C2F" w:rsidRDefault="008C0D61" w:rsidP="00C8401C">
      <w:pPr>
        <w:pStyle w:val="ListParagraph"/>
        <w:numPr>
          <w:ilvl w:val="0"/>
          <w:numId w:val="25"/>
        </w:numPr>
        <w:tabs>
          <w:tab w:val="left" w:pos="567"/>
        </w:tabs>
        <w:ind w:left="0" w:firstLine="0"/>
        <w:jc w:val="both"/>
        <w:rPr>
          <w:rFonts w:ascii="Arial" w:hAnsi="Arial" w:cs="Arial"/>
          <w:lang w:val="fr-FR"/>
        </w:rPr>
      </w:pPr>
      <w:r w:rsidRPr="00C8401C">
        <w:rPr>
          <w:rFonts w:ascii="Arial" w:hAnsi="Arial" w:cs="Arial"/>
          <w:lang w:val="fr-FR"/>
        </w:rPr>
        <w:t xml:space="preserve">D’après les </w:t>
      </w:r>
      <w:r w:rsidR="00BE3125" w:rsidRPr="00C8401C">
        <w:rPr>
          <w:rFonts w:ascii="Arial" w:hAnsi="Arial" w:cs="Arial"/>
          <w:lang w:val="fr-FR"/>
        </w:rPr>
        <w:t>documents issus</w:t>
      </w:r>
      <w:r w:rsidRPr="00C8401C">
        <w:rPr>
          <w:rFonts w:ascii="Arial" w:hAnsi="Arial" w:cs="Arial"/>
          <w:lang w:val="fr-FR"/>
        </w:rPr>
        <w:t xml:space="preserve"> </w:t>
      </w:r>
      <w:r w:rsidR="00C8401C" w:rsidRPr="00C8401C">
        <w:rPr>
          <w:rFonts w:ascii="Arial" w:hAnsi="Arial" w:cs="Arial"/>
          <w:lang w:val="fr-FR"/>
        </w:rPr>
        <w:t xml:space="preserve">du </w:t>
      </w:r>
      <w:r w:rsidRPr="00C8401C">
        <w:rPr>
          <w:rFonts w:ascii="Arial" w:hAnsi="Arial" w:cs="Arial"/>
          <w:lang w:val="fr-FR"/>
        </w:rPr>
        <w:t>sommet, l</w:t>
      </w:r>
      <w:r w:rsidR="00AD0D30" w:rsidRPr="00C8401C">
        <w:rPr>
          <w:rFonts w:ascii="Arial" w:hAnsi="Arial" w:cs="Arial"/>
          <w:lang w:val="fr-FR"/>
        </w:rPr>
        <w:t xml:space="preserve">’aptitude de l’Alliance à projeter la stabilité ne passera pas seulement par une amélioration de la compréhension régionale et de la connaissance de la situation, mais également par un renforcement des capacités navales et </w:t>
      </w:r>
      <w:r w:rsidRPr="00C8401C">
        <w:rPr>
          <w:rFonts w:ascii="Arial" w:hAnsi="Arial" w:cs="Arial"/>
          <w:lang w:val="fr-FR"/>
        </w:rPr>
        <w:t xml:space="preserve">par </w:t>
      </w:r>
      <w:r w:rsidR="00AD0D30" w:rsidRPr="00C8401C">
        <w:rPr>
          <w:rFonts w:ascii="Arial" w:hAnsi="Arial" w:cs="Arial"/>
          <w:lang w:val="fr-FR"/>
        </w:rPr>
        <w:t>une vision stratégique englobant les partenaires.</w:t>
      </w:r>
      <w:r w:rsidR="00B626D4" w:rsidRPr="00C8401C">
        <w:rPr>
          <w:rFonts w:ascii="Arial" w:hAnsi="Arial" w:cs="Arial"/>
          <w:lang w:val="fr-FR"/>
        </w:rPr>
        <w:t xml:space="preserve"> </w:t>
      </w:r>
      <w:r w:rsidR="00B626D4" w:rsidRPr="00E43218">
        <w:rPr>
          <w:rFonts w:ascii="Arial" w:hAnsi="Arial" w:cs="Arial"/>
          <w:lang w:val="fr-FR"/>
        </w:rPr>
        <w:t xml:space="preserve">Le rôle stratégique dévolu aux capacités maritimes </w:t>
      </w:r>
      <w:r w:rsidRPr="00E43218">
        <w:rPr>
          <w:rFonts w:ascii="Arial" w:hAnsi="Arial" w:cs="Arial"/>
          <w:lang w:val="fr-FR"/>
        </w:rPr>
        <w:t>pour garantir la</w:t>
      </w:r>
      <w:r w:rsidR="00B626D4" w:rsidRPr="00E43218">
        <w:rPr>
          <w:rFonts w:ascii="Arial" w:hAnsi="Arial" w:cs="Arial"/>
          <w:lang w:val="fr-FR"/>
        </w:rPr>
        <w:t xml:space="preserve"> liberté de mouvement </w:t>
      </w:r>
      <w:r w:rsidRPr="00E43218">
        <w:rPr>
          <w:rFonts w:ascii="Arial" w:hAnsi="Arial" w:cs="Arial"/>
          <w:lang w:val="fr-FR"/>
        </w:rPr>
        <w:t xml:space="preserve">des </w:t>
      </w:r>
      <w:r w:rsidR="00B626D4" w:rsidRPr="00E43218">
        <w:rPr>
          <w:rFonts w:ascii="Arial" w:hAnsi="Arial" w:cs="Arial"/>
          <w:lang w:val="fr-FR"/>
        </w:rPr>
        <w:t xml:space="preserve">Alliés est mis en exergue dans le rapport </w:t>
      </w:r>
      <w:r w:rsidR="00ED73B8">
        <w:rPr>
          <w:rFonts w:ascii="Arial" w:hAnsi="Arial" w:cs="Arial"/>
          <w:lang w:val="fr-FR"/>
        </w:rPr>
        <w:t xml:space="preserve">2016 </w:t>
      </w:r>
      <w:r w:rsidR="00B626D4" w:rsidRPr="00E43218">
        <w:rPr>
          <w:rFonts w:ascii="Arial" w:hAnsi="Arial" w:cs="Arial"/>
          <w:lang w:val="fr-FR"/>
        </w:rPr>
        <w:t xml:space="preserve">de la DSCFC intitulé </w:t>
      </w:r>
      <w:hyperlink r:id="rId17" w:history="1">
        <w:r w:rsidR="00B626D4" w:rsidRPr="00ED73B8">
          <w:rPr>
            <w:rStyle w:val="Hyperlink"/>
            <w:rFonts w:ascii="Arial" w:hAnsi="Arial" w:cs="Arial"/>
            <w:i/>
            <w:lang w:val="fr-FR"/>
          </w:rPr>
          <w:t>L’OTAN et le rôle de la puissance navale dans l’avenir</w:t>
        </w:r>
      </w:hyperlink>
      <w:r w:rsidR="00B626D4" w:rsidRPr="00E43218">
        <w:rPr>
          <w:rFonts w:ascii="Arial" w:hAnsi="Arial" w:cs="Arial"/>
          <w:lang w:val="fr-FR"/>
        </w:rPr>
        <w:t xml:space="preserve">. </w:t>
      </w:r>
      <w:r w:rsidRPr="00805C2F">
        <w:rPr>
          <w:rFonts w:ascii="Arial" w:hAnsi="Arial" w:cs="Arial"/>
          <w:lang w:val="fr-FR"/>
        </w:rPr>
        <w:t xml:space="preserve">La capacité de l’OTAN à </w:t>
      </w:r>
      <w:r w:rsidR="00805C2F" w:rsidRPr="00805C2F">
        <w:rPr>
          <w:rFonts w:ascii="Arial" w:hAnsi="Arial" w:cs="Arial"/>
          <w:lang w:val="fr-FR"/>
        </w:rPr>
        <w:t>mener</w:t>
      </w:r>
      <w:r w:rsidRPr="00805C2F">
        <w:rPr>
          <w:rFonts w:ascii="Arial" w:hAnsi="Arial" w:cs="Arial"/>
          <w:lang w:val="fr-FR"/>
        </w:rPr>
        <w:t xml:space="preserve"> des exercices et à déployer des moyens maritimes plus conséquents et plus performants dans les mers</w:t>
      </w:r>
      <w:r w:rsidR="001F16C6" w:rsidRPr="00805C2F">
        <w:rPr>
          <w:rFonts w:ascii="Arial" w:hAnsi="Arial" w:cs="Arial"/>
          <w:lang w:val="fr-FR"/>
        </w:rPr>
        <w:t xml:space="preserve"> stratégiques bordant le flanc </w:t>
      </w:r>
      <w:r w:rsidR="00805C2F">
        <w:rPr>
          <w:rFonts w:ascii="Arial" w:hAnsi="Arial" w:cs="Arial"/>
          <w:lang w:val="fr-FR"/>
        </w:rPr>
        <w:t>e</w:t>
      </w:r>
      <w:r w:rsidRPr="00805C2F">
        <w:rPr>
          <w:rFonts w:ascii="Arial" w:hAnsi="Arial" w:cs="Arial"/>
          <w:lang w:val="fr-FR"/>
        </w:rPr>
        <w:t xml:space="preserve">st de l’Alliance </w:t>
      </w:r>
      <w:r w:rsidR="00BE3125" w:rsidRPr="00805C2F">
        <w:rPr>
          <w:rFonts w:ascii="Arial" w:hAnsi="Arial" w:cs="Arial"/>
          <w:lang w:val="fr-FR"/>
        </w:rPr>
        <w:t>traduit clairement</w:t>
      </w:r>
      <w:r w:rsidR="001F16C6" w:rsidRPr="00805C2F">
        <w:rPr>
          <w:rFonts w:ascii="Arial" w:hAnsi="Arial" w:cs="Arial"/>
          <w:lang w:val="fr-FR"/>
        </w:rPr>
        <w:t xml:space="preserve"> son aptitude à projeter la force,</w:t>
      </w:r>
      <w:r w:rsidR="004F3B9A" w:rsidRPr="00805C2F">
        <w:rPr>
          <w:rFonts w:ascii="Arial" w:hAnsi="Arial" w:cs="Arial"/>
          <w:lang w:val="fr-FR"/>
        </w:rPr>
        <w:t xml:space="preserve"> ainsi que</w:t>
      </w:r>
      <w:r w:rsidR="001F16C6" w:rsidRPr="00805C2F">
        <w:rPr>
          <w:rFonts w:ascii="Arial" w:hAnsi="Arial" w:cs="Arial"/>
          <w:lang w:val="fr-FR"/>
        </w:rPr>
        <w:t xml:space="preserve"> sa détermination </w:t>
      </w:r>
      <w:r w:rsidR="00B626D4" w:rsidRPr="00805C2F">
        <w:rPr>
          <w:rFonts w:ascii="Arial" w:hAnsi="Arial" w:cs="Arial"/>
          <w:lang w:val="fr-FR"/>
        </w:rPr>
        <w:t xml:space="preserve">à ne pas se laisser intimider par des démonstrations de force dans les zones internationales bordant des </w:t>
      </w:r>
      <w:r w:rsidR="00BE3125" w:rsidRPr="00805C2F">
        <w:rPr>
          <w:rFonts w:ascii="Arial" w:hAnsi="Arial" w:cs="Arial"/>
          <w:lang w:val="fr-FR"/>
        </w:rPr>
        <w:t>pans significatif</w:t>
      </w:r>
      <w:r w:rsidR="00B626D4" w:rsidRPr="00805C2F">
        <w:rPr>
          <w:rFonts w:ascii="Arial" w:hAnsi="Arial" w:cs="Arial"/>
          <w:lang w:val="fr-FR"/>
        </w:rPr>
        <w:t>s de son territoire.</w:t>
      </w:r>
    </w:p>
    <w:p w14:paraId="10BE9007" w14:textId="77777777" w:rsidR="00B626D4" w:rsidRPr="00C8401C" w:rsidRDefault="00B626D4" w:rsidP="00C8401C">
      <w:pPr>
        <w:contextualSpacing/>
      </w:pPr>
    </w:p>
    <w:p w14:paraId="0BC0F782" w14:textId="3B46D989" w:rsidR="005D5967" w:rsidRPr="00E43218" w:rsidRDefault="00E72F8C"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Il a notamment été fait état, durant le sommet</w:t>
      </w:r>
      <w:r w:rsidR="006F52B8" w:rsidRPr="00E43218">
        <w:rPr>
          <w:rFonts w:ascii="Arial" w:hAnsi="Arial" w:cs="Arial"/>
          <w:lang w:val="fr-FR"/>
        </w:rPr>
        <w:t xml:space="preserve"> de Varsovie</w:t>
      </w:r>
      <w:r w:rsidRPr="00E43218">
        <w:rPr>
          <w:rFonts w:ascii="Arial" w:hAnsi="Arial" w:cs="Arial"/>
          <w:lang w:val="fr-FR"/>
        </w:rPr>
        <w:t xml:space="preserve">, des efforts déployés par l’Alliance pour projeter la stabilité en mer Égée et en mer Noire, voire en Méditerranée centrale – le Canada, l’Allemagne, la Grèce, l’Italie, la Pologne, l’Espagne, la Turquie, le Royaume-Uni et les États-Unis ont d’ailleurs tous revu leurs contributions maritimes à la hausse dans ces différentes régions. La déclaration du sommet évoque par ailleurs le passage officiel de </w:t>
      </w:r>
      <w:r w:rsidRPr="00E43218">
        <w:rPr>
          <w:rFonts w:ascii="Arial" w:hAnsi="Arial" w:cs="Arial"/>
          <w:i/>
          <w:lang w:val="fr-FR"/>
        </w:rPr>
        <w:t xml:space="preserve">Active </w:t>
      </w:r>
      <w:proofErr w:type="spellStart"/>
      <w:r w:rsidRPr="00E43218">
        <w:rPr>
          <w:rFonts w:ascii="Arial" w:hAnsi="Arial" w:cs="Arial"/>
          <w:i/>
          <w:lang w:val="fr-FR"/>
        </w:rPr>
        <w:t>Endeavour</w:t>
      </w:r>
      <w:proofErr w:type="spellEnd"/>
      <w:r w:rsidRPr="00E43218">
        <w:rPr>
          <w:rFonts w:ascii="Arial" w:hAnsi="Arial" w:cs="Arial"/>
          <w:lang w:val="fr-FR"/>
        </w:rPr>
        <w:t>, l’opération que l’OTAN mène</w:t>
      </w:r>
      <w:r w:rsidR="006F52B8" w:rsidRPr="00E43218">
        <w:rPr>
          <w:rFonts w:ascii="Arial" w:hAnsi="Arial" w:cs="Arial"/>
          <w:lang w:val="fr-FR"/>
        </w:rPr>
        <w:t xml:space="preserve"> de longue date en Méditerranée</w:t>
      </w:r>
      <w:r w:rsidRPr="00E43218">
        <w:rPr>
          <w:rFonts w:ascii="Arial" w:hAnsi="Arial" w:cs="Arial"/>
          <w:lang w:val="fr-FR"/>
        </w:rPr>
        <w:t xml:space="preserve"> au titre de </w:t>
      </w:r>
      <w:r w:rsidRPr="00ED73B8">
        <w:rPr>
          <w:rFonts w:ascii="Arial" w:hAnsi="Arial" w:cs="Arial"/>
          <w:lang w:val="fr-FR"/>
        </w:rPr>
        <w:t>l’</w:t>
      </w:r>
      <w:r w:rsidR="00A87841" w:rsidRPr="00ED73B8">
        <w:rPr>
          <w:rFonts w:ascii="Arial" w:hAnsi="Arial" w:cs="Arial"/>
          <w:lang w:val="fr-FR"/>
        </w:rPr>
        <w:t>article 5</w:t>
      </w:r>
      <w:r w:rsidR="006F52B8" w:rsidRPr="00ED73B8">
        <w:rPr>
          <w:rFonts w:ascii="Arial" w:hAnsi="Arial" w:cs="Arial"/>
          <w:lang w:val="fr-FR"/>
        </w:rPr>
        <w:t>,</w:t>
      </w:r>
      <w:r w:rsidR="006F52B8" w:rsidRPr="00E43218">
        <w:rPr>
          <w:rFonts w:ascii="Arial" w:hAnsi="Arial" w:cs="Arial"/>
          <w:lang w:val="fr-FR"/>
        </w:rPr>
        <w:t xml:space="preserve"> </w:t>
      </w:r>
      <w:r w:rsidRPr="00E43218">
        <w:rPr>
          <w:rFonts w:ascii="Arial" w:hAnsi="Arial" w:cs="Arial"/>
          <w:lang w:val="fr-FR"/>
        </w:rPr>
        <w:t xml:space="preserve">à </w:t>
      </w:r>
      <w:proofErr w:type="spellStart"/>
      <w:r w:rsidRPr="00E43218">
        <w:rPr>
          <w:rFonts w:ascii="Arial" w:hAnsi="Arial" w:cs="Arial"/>
          <w:i/>
          <w:lang w:val="fr-FR"/>
        </w:rPr>
        <w:t>Sea</w:t>
      </w:r>
      <w:proofErr w:type="spellEnd"/>
      <w:r w:rsidRPr="00E43218">
        <w:rPr>
          <w:rFonts w:ascii="Arial" w:hAnsi="Arial" w:cs="Arial"/>
          <w:i/>
          <w:lang w:val="fr-FR"/>
        </w:rPr>
        <w:t xml:space="preserve"> Guardian</w:t>
      </w:r>
      <w:r w:rsidRPr="00E43218">
        <w:rPr>
          <w:rFonts w:ascii="Arial" w:hAnsi="Arial" w:cs="Arial"/>
          <w:lang w:val="fr-FR"/>
        </w:rPr>
        <w:t>, une opération de sûreté maritime ne relevant pas de l’</w:t>
      </w:r>
      <w:r w:rsidR="00A87841" w:rsidRPr="00E43218">
        <w:rPr>
          <w:rFonts w:ascii="Arial" w:hAnsi="Arial" w:cs="Arial"/>
          <w:lang w:val="fr-FR"/>
        </w:rPr>
        <w:t>article 5</w:t>
      </w:r>
      <w:r w:rsidRPr="00E43218">
        <w:rPr>
          <w:rFonts w:ascii="Arial" w:hAnsi="Arial" w:cs="Arial"/>
          <w:lang w:val="fr-FR"/>
        </w:rPr>
        <w:t>.</w:t>
      </w:r>
      <w:r w:rsidRPr="00E43218">
        <w:rPr>
          <w:rFonts w:ascii="Arial" w:hAnsi="Arial" w:cs="Arial"/>
          <w:sz w:val="27"/>
          <w:szCs w:val="27"/>
          <w:lang w:val="fr-FR"/>
        </w:rPr>
        <w:t xml:space="preserve"> </w:t>
      </w:r>
      <w:r w:rsidRPr="00E43218">
        <w:rPr>
          <w:rFonts w:ascii="Arial" w:hAnsi="Arial" w:cs="Arial"/>
          <w:lang w:val="fr-FR"/>
        </w:rPr>
        <w:t xml:space="preserve">L’élargissement </w:t>
      </w:r>
      <w:r w:rsidR="006F52B8" w:rsidRPr="00E43218">
        <w:rPr>
          <w:rFonts w:ascii="Arial" w:hAnsi="Arial" w:cs="Arial"/>
          <w:lang w:val="fr-FR"/>
        </w:rPr>
        <w:t>de l’opération montre que les pays sont conscients, face à l’éventail des défis de sécurité auxquels l’Alliance est aujourd’hui confrontée, de la nécessité de renforcer le rôle des moyens navals de l’OTAN et partant, la sécurité de manœuvre maritime.</w:t>
      </w:r>
    </w:p>
    <w:p w14:paraId="04E3F82B" w14:textId="77777777" w:rsidR="005D5967" w:rsidRPr="00C8401C" w:rsidRDefault="005D5967" w:rsidP="00C8401C">
      <w:pPr>
        <w:contextualSpacing/>
      </w:pPr>
    </w:p>
    <w:p w14:paraId="5589A392" w14:textId="7D71A7CF" w:rsidR="005D5967" w:rsidRPr="00E43218" w:rsidRDefault="006F52B8" w:rsidP="00C8401C">
      <w:pPr>
        <w:pStyle w:val="ListParagraph"/>
        <w:numPr>
          <w:ilvl w:val="0"/>
          <w:numId w:val="25"/>
        </w:numPr>
        <w:tabs>
          <w:tab w:val="left" w:pos="567"/>
        </w:tabs>
        <w:ind w:left="0" w:firstLine="0"/>
        <w:jc w:val="both"/>
        <w:rPr>
          <w:rFonts w:ascii="Arial" w:hAnsi="Arial" w:cs="Arial"/>
          <w:lang w:val="fr-FR"/>
        </w:rPr>
      </w:pPr>
      <w:r w:rsidRPr="00805C2F">
        <w:rPr>
          <w:rFonts w:ascii="Arial" w:hAnsi="Arial" w:cs="Arial"/>
          <w:lang w:val="fr-FR"/>
        </w:rPr>
        <w:t>Enfin, de nombreux partenaires stratégiques de l’OTAN situés à la périphérie de ces zones</w:t>
      </w:r>
      <w:r w:rsidR="00DD3B59" w:rsidRPr="00805C2F">
        <w:rPr>
          <w:rFonts w:ascii="Arial" w:hAnsi="Arial" w:cs="Arial"/>
          <w:lang w:val="fr-FR"/>
        </w:rPr>
        <w:t xml:space="preserve"> stratégiques sont menacés par l</w:t>
      </w:r>
      <w:r w:rsidRPr="00805C2F">
        <w:rPr>
          <w:rFonts w:ascii="Arial" w:hAnsi="Arial" w:cs="Arial"/>
          <w:lang w:val="fr-FR"/>
        </w:rPr>
        <w:t xml:space="preserve">es nouveaux moyens A2/AD mis en place par la Russie, </w:t>
      </w:r>
      <w:proofErr w:type="spellStart"/>
      <w:r w:rsidRPr="00805C2F">
        <w:rPr>
          <w:rFonts w:ascii="Arial" w:hAnsi="Arial" w:cs="Arial"/>
          <w:lang w:val="fr-FR"/>
        </w:rPr>
        <w:t>ou</w:t>
      </w:r>
      <w:proofErr w:type="spellEnd"/>
      <w:r w:rsidRPr="00805C2F">
        <w:rPr>
          <w:rFonts w:ascii="Arial" w:hAnsi="Arial" w:cs="Arial"/>
          <w:lang w:val="fr-FR"/>
        </w:rPr>
        <w:t xml:space="preserve"> se trouvent potentiellement à la portée de ces derniers, </w:t>
      </w:r>
      <w:r w:rsidR="00DD3B59" w:rsidRPr="00805C2F">
        <w:rPr>
          <w:rFonts w:ascii="Arial" w:hAnsi="Arial" w:cs="Arial"/>
          <w:lang w:val="fr-FR"/>
        </w:rPr>
        <w:t>ce qui plaide</w:t>
      </w:r>
      <w:r w:rsidRPr="00805C2F">
        <w:rPr>
          <w:rFonts w:ascii="Arial" w:hAnsi="Arial" w:cs="Arial"/>
          <w:lang w:val="fr-FR"/>
        </w:rPr>
        <w:t xml:space="preserve"> en faveur d’une « approche plus stratégique</w:t>
      </w:r>
      <w:r w:rsidR="00805C2F" w:rsidRPr="00805C2F">
        <w:rPr>
          <w:rFonts w:ascii="Arial" w:hAnsi="Arial" w:cs="Arial"/>
          <w:lang w:val="fr-FR"/>
        </w:rPr>
        <w:t>,</w:t>
      </w:r>
      <w:r w:rsidR="00805C2F">
        <w:rPr>
          <w:rFonts w:ascii="Arial" w:hAnsi="Arial" w:cs="Arial"/>
          <w:lang w:val="fr-FR"/>
        </w:rPr>
        <w:t xml:space="preserve"> </w:t>
      </w:r>
      <w:r w:rsidRPr="00805C2F">
        <w:rPr>
          <w:rFonts w:ascii="Arial" w:hAnsi="Arial" w:cs="Arial"/>
          <w:lang w:val="fr-FR"/>
        </w:rPr>
        <w:t xml:space="preserve">plus cohérente </w:t>
      </w:r>
      <w:r w:rsidR="00805C2F">
        <w:rPr>
          <w:rFonts w:ascii="Arial" w:hAnsi="Arial" w:cs="Arial"/>
          <w:lang w:val="fr-FR"/>
        </w:rPr>
        <w:t xml:space="preserve">et plus efficace </w:t>
      </w:r>
      <w:r w:rsidRPr="00805C2F">
        <w:rPr>
          <w:rFonts w:ascii="Arial" w:hAnsi="Arial" w:cs="Arial"/>
          <w:lang w:val="fr-FR"/>
        </w:rPr>
        <w:t>des partenariats »</w:t>
      </w:r>
      <w:r w:rsidR="001F16C6" w:rsidRPr="00805C2F">
        <w:rPr>
          <w:rFonts w:ascii="Arial" w:hAnsi="Arial" w:cs="Arial"/>
          <w:lang w:val="fr-FR"/>
        </w:rPr>
        <w:t xml:space="preserve">, </w:t>
      </w:r>
      <w:r w:rsidRPr="00805C2F">
        <w:rPr>
          <w:rFonts w:ascii="Arial" w:hAnsi="Arial" w:cs="Arial"/>
          <w:lang w:val="fr-FR"/>
        </w:rPr>
        <w:t xml:space="preserve">de l’Arctique jusqu’à la Méditerranée en passant par le Caucase. </w:t>
      </w:r>
      <w:r w:rsidR="001F16C6" w:rsidRPr="00E43218">
        <w:rPr>
          <w:rFonts w:ascii="Arial" w:hAnsi="Arial" w:cs="Arial"/>
          <w:lang w:val="fr-FR"/>
        </w:rPr>
        <w:t>À titre d’exemple</w:t>
      </w:r>
      <w:r w:rsidRPr="00E43218">
        <w:rPr>
          <w:rFonts w:ascii="Arial" w:hAnsi="Arial" w:cs="Arial"/>
          <w:lang w:val="fr-FR"/>
        </w:rPr>
        <w:t>, l’île suédoise de Gotland échappe à la bulle A2/AD russe dans la région de la Baltique</w:t>
      </w:r>
      <w:r w:rsidR="00DD3B59" w:rsidRPr="00E43218">
        <w:rPr>
          <w:rFonts w:ascii="Arial" w:hAnsi="Arial" w:cs="Arial"/>
          <w:lang w:val="fr-FR"/>
        </w:rPr>
        <w:t>.</w:t>
      </w:r>
      <w:r w:rsidRPr="00E43218">
        <w:rPr>
          <w:rFonts w:ascii="Arial" w:hAnsi="Arial" w:cs="Arial"/>
          <w:lang w:val="fr-FR"/>
        </w:rPr>
        <w:t xml:space="preserve"> </w:t>
      </w:r>
      <w:r w:rsidR="00DD3B59" w:rsidRPr="00E43218">
        <w:rPr>
          <w:rFonts w:ascii="Arial" w:hAnsi="Arial" w:cs="Arial"/>
          <w:lang w:val="fr-FR"/>
        </w:rPr>
        <w:t xml:space="preserve">Y déployer des capacités amies anti-accès limiterait notablement l’aptitude de Moscou à imposer une bulle d’interdiction de zone dans cette zone, et </w:t>
      </w:r>
      <w:r w:rsidR="001F16C6" w:rsidRPr="00E43218">
        <w:rPr>
          <w:rFonts w:ascii="Arial" w:hAnsi="Arial" w:cs="Arial"/>
          <w:lang w:val="fr-FR"/>
        </w:rPr>
        <w:t>l’</w:t>
      </w:r>
      <w:r w:rsidR="00DD3B59" w:rsidRPr="00E43218">
        <w:rPr>
          <w:rFonts w:ascii="Arial" w:hAnsi="Arial" w:cs="Arial"/>
          <w:lang w:val="fr-FR"/>
        </w:rPr>
        <w:t xml:space="preserve">empêcherait dès lors d’isoler les pays baltes du reste de l’Alliance – </w:t>
      </w:r>
      <w:r w:rsidR="001F16C6" w:rsidRPr="00E43218">
        <w:rPr>
          <w:rFonts w:ascii="Arial" w:hAnsi="Arial" w:cs="Arial"/>
          <w:lang w:val="fr-FR"/>
        </w:rPr>
        <w:t>en soi, une excellente raison d’approfondir le</w:t>
      </w:r>
      <w:r w:rsidR="00DD3B59" w:rsidRPr="00E43218">
        <w:rPr>
          <w:rFonts w:ascii="Arial" w:hAnsi="Arial" w:cs="Arial"/>
          <w:lang w:val="fr-FR"/>
        </w:rPr>
        <w:t xml:space="preserve"> partenariat entre l’OTAN et la Suède (Krishna, 2016).</w:t>
      </w:r>
    </w:p>
    <w:p w14:paraId="39860DB9" w14:textId="77777777" w:rsidR="00D55FEA" w:rsidRPr="00873F20" w:rsidRDefault="00D55FEA" w:rsidP="005D5967"/>
    <w:p w14:paraId="008D4BDB" w14:textId="74D5B292" w:rsidR="00C02C3A" w:rsidRPr="00873F20" w:rsidRDefault="007C2116" w:rsidP="00322FF5">
      <w:pPr>
        <w:tabs>
          <w:tab w:val="clear" w:pos="567"/>
        </w:tabs>
        <w:overflowPunct/>
        <w:autoSpaceDE/>
        <w:autoSpaceDN/>
        <w:adjustRightInd/>
        <w:jc w:val="left"/>
        <w:textAlignment w:val="auto"/>
      </w:pPr>
      <w:r>
        <w:br w:type="page"/>
      </w:r>
    </w:p>
    <w:p w14:paraId="5143D361" w14:textId="480F5068" w:rsidR="00D55FEA" w:rsidRPr="00FF2B9F" w:rsidRDefault="00C8401C" w:rsidP="007C2116">
      <w:pPr>
        <w:pStyle w:val="Heading1"/>
        <w:numPr>
          <w:ilvl w:val="0"/>
          <w:numId w:val="0"/>
        </w:numPr>
      </w:pPr>
      <w:bookmarkStart w:id="21" w:name="_Toc464810728"/>
      <w:r>
        <w:t>VI.</w:t>
      </w:r>
      <w:r>
        <w:tab/>
        <w:t>C</w:t>
      </w:r>
      <w:r w:rsidR="00D55FEA" w:rsidRPr="00FF2B9F">
        <w:t>onclusions provisoires</w:t>
      </w:r>
      <w:bookmarkEnd w:id="21"/>
    </w:p>
    <w:p w14:paraId="32110BBA" w14:textId="77777777" w:rsidR="00C02C3A" w:rsidRPr="00FF2B9F" w:rsidRDefault="00C02C3A" w:rsidP="00C02C3A"/>
    <w:p w14:paraId="52FBB017" w14:textId="1929FFD9" w:rsidR="00D55FEA" w:rsidRPr="00F33FA8" w:rsidRDefault="00D55FEA" w:rsidP="00C8401C">
      <w:pPr>
        <w:pStyle w:val="ListParagraph"/>
        <w:numPr>
          <w:ilvl w:val="0"/>
          <w:numId w:val="25"/>
        </w:numPr>
        <w:tabs>
          <w:tab w:val="left" w:pos="567"/>
        </w:tabs>
        <w:ind w:left="0" w:firstLine="0"/>
        <w:jc w:val="both"/>
        <w:rPr>
          <w:rFonts w:ascii="Arial" w:hAnsi="Arial" w:cs="Arial"/>
          <w:lang w:val="fr-FR"/>
        </w:rPr>
      </w:pPr>
      <w:r w:rsidRPr="00C8401C">
        <w:rPr>
          <w:rFonts w:ascii="Arial" w:hAnsi="Arial" w:cs="Arial"/>
          <w:lang w:val="fr-FR"/>
        </w:rPr>
        <w:t xml:space="preserve">L’OTAN doit, plus </w:t>
      </w:r>
      <w:r w:rsidR="00A43803" w:rsidRPr="00C8401C">
        <w:rPr>
          <w:rFonts w:ascii="Arial" w:hAnsi="Arial" w:cs="Arial"/>
          <w:lang w:val="fr-FR"/>
        </w:rPr>
        <w:t>que jamais depuis la fin de la g</w:t>
      </w:r>
      <w:r w:rsidRPr="00C8401C">
        <w:rPr>
          <w:rFonts w:ascii="Arial" w:hAnsi="Arial" w:cs="Arial"/>
          <w:lang w:val="fr-FR"/>
        </w:rPr>
        <w:t xml:space="preserve">uerre froide, faire savoir en termes forts qu’elle a la volonté et les moyens de mener à bien une politique de défense collective à la fois performante et crédible. </w:t>
      </w:r>
      <w:r w:rsidRPr="00E43218">
        <w:rPr>
          <w:rFonts w:ascii="Arial" w:hAnsi="Arial" w:cs="Arial"/>
          <w:lang w:val="fr-FR"/>
        </w:rPr>
        <w:t xml:space="preserve">Au final, l’engagement de l’OTAN </w:t>
      </w:r>
      <w:r w:rsidR="0038588C" w:rsidRPr="00E43218">
        <w:rPr>
          <w:rFonts w:ascii="Arial" w:hAnsi="Arial" w:cs="Arial"/>
          <w:lang w:val="fr-FR"/>
        </w:rPr>
        <w:t>au</w:t>
      </w:r>
      <w:r w:rsidR="00DD3B59" w:rsidRPr="00E43218">
        <w:rPr>
          <w:rFonts w:ascii="Arial" w:hAnsi="Arial" w:cs="Arial"/>
          <w:lang w:val="fr-FR"/>
        </w:rPr>
        <w:t xml:space="preserve"> sens de</w:t>
      </w:r>
      <w:r w:rsidRPr="00E43218">
        <w:rPr>
          <w:rFonts w:ascii="Arial" w:hAnsi="Arial" w:cs="Arial"/>
          <w:lang w:val="fr-FR"/>
        </w:rPr>
        <w:t xml:space="preserve"> l’</w:t>
      </w:r>
      <w:r w:rsidR="00A87841" w:rsidRPr="00E43218">
        <w:rPr>
          <w:rFonts w:ascii="Arial" w:hAnsi="Arial" w:cs="Arial"/>
          <w:lang w:val="fr-FR"/>
        </w:rPr>
        <w:t>article 5</w:t>
      </w:r>
      <w:r w:rsidRPr="00E43218">
        <w:rPr>
          <w:rFonts w:ascii="Arial" w:hAnsi="Arial" w:cs="Arial"/>
          <w:lang w:val="fr-FR"/>
        </w:rPr>
        <w:t xml:space="preserve"> ne sera crédible que s’il existe une volonté politique de recourir à la force pour défendre le territoire de tous les membres de l’OTAN, sans pour autant oublier les principes de l’article 3.</w:t>
      </w:r>
      <w:r w:rsidR="00DD3B59" w:rsidRPr="00E43218">
        <w:rPr>
          <w:rFonts w:ascii="Arial" w:hAnsi="Arial" w:cs="Arial"/>
          <w:lang w:val="fr-FR"/>
        </w:rPr>
        <w:t xml:space="preserve"> </w:t>
      </w:r>
      <w:r w:rsidR="00DD3B59" w:rsidRPr="00226F34">
        <w:rPr>
          <w:rFonts w:ascii="Arial" w:hAnsi="Arial" w:cs="Arial"/>
          <w:lang w:val="fr-FR"/>
        </w:rPr>
        <w:t>Comme nous l’avons souligné dans ce rapport, l’Alliance a procédé à des ajustements significat</w:t>
      </w:r>
      <w:r w:rsidR="00F02033" w:rsidRPr="00226F34">
        <w:rPr>
          <w:rFonts w:ascii="Arial" w:hAnsi="Arial" w:cs="Arial"/>
          <w:lang w:val="fr-FR"/>
        </w:rPr>
        <w:t>ifs depuis 2014, passant de</w:t>
      </w:r>
      <w:r w:rsidR="00DD3B59" w:rsidRPr="00226F34">
        <w:rPr>
          <w:rFonts w:ascii="Arial" w:hAnsi="Arial" w:cs="Arial"/>
          <w:lang w:val="fr-FR"/>
        </w:rPr>
        <w:t xml:space="preserve"> mesures de réassurance prises en urgence </w:t>
      </w:r>
      <w:r w:rsidR="00226F34" w:rsidRPr="00226F34">
        <w:rPr>
          <w:rFonts w:ascii="Arial" w:hAnsi="Arial" w:cs="Arial"/>
          <w:lang w:val="fr-FR"/>
        </w:rPr>
        <w:t>au sommet du pays de Gal</w:t>
      </w:r>
      <w:r w:rsidR="00226F34">
        <w:rPr>
          <w:rFonts w:ascii="Arial" w:hAnsi="Arial" w:cs="Arial"/>
          <w:lang w:val="fr-FR"/>
        </w:rPr>
        <w:t xml:space="preserve">les </w:t>
      </w:r>
      <w:r w:rsidR="00DD3B59" w:rsidRPr="00226F34">
        <w:rPr>
          <w:rFonts w:ascii="Arial" w:hAnsi="Arial" w:cs="Arial"/>
          <w:lang w:val="fr-FR"/>
        </w:rPr>
        <w:t xml:space="preserve">à un </w:t>
      </w:r>
      <w:r w:rsidR="00A87841" w:rsidRPr="00226F34">
        <w:rPr>
          <w:rFonts w:ascii="Arial" w:hAnsi="Arial" w:cs="Arial"/>
          <w:lang w:val="fr-FR"/>
        </w:rPr>
        <w:t xml:space="preserve">système de dissuasion consolidé, moderne, souple et mobile. </w:t>
      </w:r>
      <w:r w:rsidR="00A87841" w:rsidRPr="00F33FA8">
        <w:rPr>
          <w:rFonts w:ascii="Arial" w:hAnsi="Arial" w:cs="Arial"/>
          <w:lang w:val="fr-FR"/>
        </w:rPr>
        <w:t xml:space="preserve">En redirigeant les priorités vers des forces NRF robustes et préparées et en mettant dorénavant l’accent sur une présence avancée renforcée le long du flanc est, le dispositif de </w:t>
      </w:r>
      <w:r w:rsidR="00F02033" w:rsidRPr="00F33FA8">
        <w:rPr>
          <w:rFonts w:ascii="Arial" w:hAnsi="Arial" w:cs="Arial"/>
          <w:lang w:val="fr-FR"/>
        </w:rPr>
        <w:t xml:space="preserve">dissuasion </w:t>
      </w:r>
      <w:r w:rsidR="004F3B9A" w:rsidRPr="00F33FA8">
        <w:rPr>
          <w:rFonts w:ascii="Arial" w:hAnsi="Arial" w:cs="Arial"/>
          <w:lang w:val="fr-FR"/>
        </w:rPr>
        <w:t xml:space="preserve">de </w:t>
      </w:r>
      <w:r w:rsidR="00A87841" w:rsidRPr="00F33FA8">
        <w:rPr>
          <w:rFonts w:ascii="Arial" w:hAnsi="Arial" w:cs="Arial"/>
          <w:lang w:val="fr-FR"/>
        </w:rPr>
        <w:t>l’après-Varsovie témoigne de la crédibilité de l’Alliance et de son attacheme</w:t>
      </w:r>
      <w:r w:rsidR="00226F34">
        <w:rPr>
          <w:rFonts w:ascii="Arial" w:hAnsi="Arial" w:cs="Arial"/>
          <w:lang w:val="fr-FR"/>
        </w:rPr>
        <w:t>nt</w:t>
      </w:r>
      <w:r w:rsidR="00F33FA8" w:rsidRPr="00F33FA8">
        <w:rPr>
          <w:rFonts w:ascii="Arial" w:hAnsi="Arial" w:cs="Arial"/>
          <w:lang w:val="fr-FR"/>
        </w:rPr>
        <w:t xml:space="preserve"> </w:t>
      </w:r>
      <w:r w:rsidR="00A87841" w:rsidRPr="00F33FA8">
        <w:rPr>
          <w:rFonts w:ascii="Arial" w:hAnsi="Arial" w:cs="Arial"/>
          <w:lang w:val="fr-FR"/>
        </w:rPr>
        <w:t>à l’article 5 du Traité de Washington.</w:t>
      </w:r>
    </w:p>
    <w:p w14:paraId="702DA538" w14:textId="77777777" w:rsidR="00A87841" w:rsidRPr="00C8401C" w:rsidRDefault="00A87841" w:rsidP="00C8401C"/>
    <w:p w14:paraId="22283E78" w14:textId="3A012242" w:rsidR="00A87841" w:rsidRPr="00226F34" w:rsidRDefault="00A87841" w:rsidP="00C8401C">
      <w:pPr>
        <w:pStyle w:val="ListParagraph"/>
        <w:numPr>
          <w:ilvl w:val="0"/>
          <w:numId w:val="25"/>
        </w:numPr>
        <w:tabs>
          <w:tab w:val="left" w:pos="567"/>
        </w:tabs>
        <w:ind w:left="0" w:firstLine="0"/>
        <w:jc w:val="both"/>
        <w:rPr>
          <w:rFonts w:ascii="Arial" w:hAnsi="Arial" w:cs="Arial"/>
          <w:lang w:val="fr-FR"/>
        </w:rPr>
      </w:pPr>
      <w:r w:rsidRPr="00226F34">
        <w:rPr>
          <w:rFonts w:ascii="Arial" w:hAnsi="Arial" w:cs="Arial"/>
          <w:lang w:val="fr-FR"/>
        </w:rPr>
        <w:t xml:space="preserve">Étant donné la diversité des menaces symétriques et asymétriques auxquelles l’Alliance se voit confrontée sur ses flancs </w:t>
      </w:r>
      <w:r w:rsidR="00226F34" w:rsidRPr="00226F34">
        <w:rPr>
          <w:rFonts w:ascii="Arial" w:hAnsi="Arial" w:cs="Arial"/>
          <w:lang w:val="fr-FR"/>
        </w:rPr>
        <w:t>e</w:t>
      </w:r>
      <w:r w:rsidRPr="00226F34">
        <w:rPr>
          <w:rFonts w:ascii="Arial" w:hAnsi="Arial" w:cs="Arial"/>
          <w:lang w:val="fr-FR"/>
        </w:rPr>
        <w:t xml:space="preserve">st et </w:t>
      </w:r>
      <w:r w:rsidR="00226F34">
        <w:rPr>
          <w:rFonts w:ascii="Arial" w:hAnsi="Arial" w:cs="Arial"/>
          <w:lang w:val="fr-FR"/>
        </w:rPr>
        <w:t>s</w:t>
      </w:r>
      <w:r w:rsidRPr="00226F34">
        <w:rPr>
          <w:rFonts w:ascii="Arial" w:hAnsi="Arial" w:cs="Arial"/>
          <w:lang w:val="fr-FR"/>
        </w:rPr>
        <w:t xml:space="preserve">ud, il </w:t>
      </w:r>
      <w:r w:rsidR="009A2FD3" w:rsidRPr="00226F34">
        <w:rPr>
          <w:rFonts w:ascii="Arial" w:hAnsi="Arial" w:cs="Arial"/>
          <w:lang w:val="fr-FR"/>
        </w:rPr>
        <w:t xml:space="preserve">est </w:t>
      </w:r>
      <w:r w:rsidR="00F02033" w:rsidRPr="00226F34">
        <w:rPr>
          <w:rFonts w:ascii="Arial" w:hAnsi="Arial" w:cs="Arial"/>
          <w:lang w:val="fr-FR"/>
        </w:rPr>
        <w:t>essentiel qu’elle puisse</w:t>
      </w:r>
      <w:r w:rsidR="009A2FD3" w:rsidRPr="00226F34">
        <w:rPr>
          <w:rFonts w:ascii="Arial" w:hAnsi="Arial" w:cs="Arial"/>
          <w:lang w:val="fr-FR"/>
        </w:rPr>
        <w:t xml:space="preserve"> s’appuyer, </w:t>
      </w:r>
      <w:r w:rsidR="00F02033" w:rsidRPr="00226F34">
        <w:rPr>
          <w:rFonts w:ascii="Arial" w:hAnsi="Arial" w:cs="Arial"/>
          <w:lang w:val="fr-FR"/>
        </w:rPr>
        <w:t xml:space="preserve">pour </w:t>
      </w:r>
      <w:r w:rsidRPr="00226F34">
        <w:rPr>
          <w:rFonts w:ascii="Arial" w:hAnsi="Arial" w:cs="Arial"/>
          <w:lang w:val="fr-FR"/>
        </w:rPr>
        <w:t>garantir l’intégrité territoriale de l’Alliance et préserver les intérêts de l’Alliance, sur un</w:t>
      </w:r>
      <w:r w:rsidR="00F02033" w:rsidRPr="00226F34">
        <w:rPr>
          <w:rFonts w:ascii="Arial" w:hAnsi="Arial" w:cs="Arial"/>
          <w:lang w:val="fr-FR"/>
        </w:rPr>
        <w:t>e</w:t>
      </w:r>
      <w:r w:rsidRPr="00226F34">
        <w:rPr>
          <w:rFonts w:ascii="Arial" w:hAnsi="Arial" w:cs="Arial"/>
          <w:lang w:val="fr-FR"/>
        </w:rPr>
        <w:t xml:space="preserve"> </w:t>
      </w:r>
      <w:r w:rsidR="00F02033" w:rsidRPr="00226F34">
        <w:rPr>
          <w:rFonts w:ascii="Arial" w:hAnsi="Arial" w:cs="Arial"/>
          <w:lang w:val="fr-FR"/>
        </w:rPr>
        <w:t xml:space="preserve">gamme </w:t>
      </w:r>
      <w:r w:rsidRPr="00226F34">
        <w:rPr>
          <w:rFonts w:ascii="Arial" w:hAnsi="Arial" w:cs="Arial"/>
          <w:lang w:val="fr-FR"/>
        </w:rPr>
        <w:t xml:space="preserve">de capacités </w:t>
      </w:r>
      <w:r w:rsidR="00F02033" w:rsidRPr="00226F34">
        <w:rPr>
          <w:rFonts w:ascii="Arial" w:hAnsi="Arial" w:cs="Arial"/>
          <w:lang w:val="fr-FR"/>
        </w:rPr>
        <w:t xml:space="preserve">allant </w:t>
      </w:r>
      <w:r w:rsidRPr="00226F34">
        <w:rPr>
          <w:rFonts w:ascii="Arial" w:hAnsi="Arial" w:cs="Arial"/>
          <w:lang w:val="fr-FR"/>
        </w:rPr>
        <w:t>des moyens conventionnels</w:t>
      </w:r>
      <w:r w:rsidR="00F02033" w:rsidRPr="00226F34">
        <w:rPr>
          <w:rFonts w:ascii="Arial" w:hAnsi="Arial" w:cs="Arial"/>
          <w:lang w:val="fr-FR"/>
        </w:rPr>
        <w:t xml:space="preserve"> à des capacités nucléaires, en passant par la </w:t>
      </w:r>
      <w:r w:rsidRPr="00226F34">
        <w:rPr>
          <w:rFonts w:ascii="Arial" w:hAnsi="Arial" w:cs="Arial"/>
          <w:lang w:val="fr-FR"/>
        </w:rPr>
        <w:t>défense antim</w:t>
      </w:r>
      <w:r w:rsidR="009A2FD3" w:rsidRPr="00226F34">
        <w:rPr>
          <w:rFonts w:ascii="Arial" w:hAnsi="Arial" w:cs="Arial"/>
          <w:lang w:val="fr-FR"/>
        </w:rPr>
        <w:t xml:space="preserve">issile. La nature </w:t>
      </w:r>
      <w:r w:rsidR="00F02033" w:rsidRPr="00226F34">
        <w:rPr>
          <w:rFonts w:ascii="Arial" w:hAnsi="Arial" w:cs="Arial"/>
          <w:lang w:val="fr-FR"/>
        </w:rPr>
        <w:t>évolutive</w:t>
      </w:r>
      <w:r w:rsidR="009A2FD3" w:rsidRPr="00226F34">
        <w:rPr>
          <w:rFonts w:ascii="Arial" w:hAnsi="Arial" w:cs="Arial"/>
          <w:lang w:val="fr-FR"/>
        </w:rPr>
        <w:t xml:space="preserve"> des menaces en ce </w:t>
      </w:r>
      <w:r w:rsidR="00AA1BCA" w:rsidRPr="00226F34">
        <w:rPr>
          <w:rFonts w:ascii="Arial" w:hAnsi="Arial" w:cs="Arial"/>
          <w:lang w:val="fr-FR"/>
        </w:rPr>
        <w:t>XXI</w:t>
      </w:r>
      <w:r w:rsidR="009A2FD3" w:rsidRPr="00226F34">
        <w:rPr>
          <w:rFonts w:ascii="Arial" w:hAnsi="Arial" w:cs="Arial"/>
          <w:vertAlign w:val="superscript"/>
          <w:lang w:val="fr-FR"/>
        </w:rPr>
        <w:t>e</w:t>
      </w:r>
      <w:r w:rsidR="009A2FD3" w:rsidRPr="00226F34">
        <w:rPr>
          <w:rFonts w:ascii="Arial" w:hAnsi="Arial" w:cs="Arial"/>
          <w:lang w:val="fr-FR"/>
        </w:rPr>
        <w:t xml:space="preserve"> siècle fait ressortir tout l’importance de forces conventionnelles très mobiles et particulièrement performantes</w:t>
      </w:r>
      <w:r w:rsidR="00226F34" w:rsidRPr="00226F34">
        <w:rPr>
          <w:rFonts w:ascii="Arial" w:hAnsi="Arial" w:cs="Arial"/>
          <w:lang w:val="fr-FR"/>
        </w:rPr>
        <w:t>,</w:t>
      </w:r>
      <w:r w:rsidR="009A2FD3" w:rsidRPr="00226F34">
        <w:rPr>
          <w:rFonts w:ascii="Arial" w:hAnsi="Arial" w:cs="Arial"/>
          <w:lang w:val="fr-FR"/>
        </w:rPr>
        <w:t xml:space="preserve"> à même de </w:t>
      </w:r>
      <w:r w:rsidR="00F02033" w:rsidRPr="00226F34">
        <w:rPr>
          <w:rFonts w:ascii="Arial" w:hAnsi="Arial" w:cs="Arial"/>
          <w:lang w:val="fr-FR"/>
        </w:rPr>
        <w:t>contrer les</w:t>
      </w:r>
      <w:r w:rsidR="009A2FD3" w:rsidRPr="00226F34">
        <w:rPr>
          <w:rFonts w:ascii="Arial" w:hAnsi="Arial" w:cs="Arial"/>
          <w:lang w:val="fr-FR"/>
        </w:rPr>
        <w:t xml:space="preserve"> menaces pesant sur l’Alliance, et ce d’où qu’elles viennent – impératif qui a été </w:t>
      </w:r>
      <w:r w:rsidR="00226F34">
        <w:rPr>
          <w:rFonts w:ascii="Arial" w:hAnsi="Arial" w:cs="Arial"/>
          <w:lang w:val="fr-FR"/>
        </w:rPr>
        <w:t>mis en avant</w:t>
      </w:r>
      <w:r w:rsidR="009A2FD3" w:rsidRPr="00226F34">
        <w:rPr>
          <w:rFonts w:ascii="Arial" w:hAnsi="Arial" w:cs="Arial"/>
          <w:lang w:val="fr-FR"/>
        </w:rPr>
        <w:t xml:space="preserve"> </w:t>
      </w:r>
      <w:r w:rsidR="00F02033" w:rsidRPr="00226F34">
        <w:rPr>
          <w:rFonts w:ascii="Arial" w:hAnsi="Arial" w:cs="Arial"/>
          <w:lang w:val="fr-FR"/>
        </w:rPr>
        <w:t xml:space="preserve">par l’Alliance </w:t>
      </w:r>
      <w:r w:rsidR="009A2FD3" w:rsidRPr="00226F34">
        <w:rPr>
          <w:rFonts w:ascii="Arial" w:hAnsi="Arial" w:cs="Arial"/>
          <w:lang w:val="fr-FR"/>
        </w:rPr>
        <w:t>tant au pays de Galles qu’à Varsovie.</w:t>
      </w:r>
    </w:p>
    <w:p w14:paraId="1C9F542D" w14:textId="77777777" w:rsidR="00C02C3A" w:rsidRPr="00C8401C" w:rsidRDefault="00C02C3A" w:rsidP="00C8401C"/>
    <w:p w14:paraId="276CF274" w14:textId="22DDC50B" w:rsidR="00D55FEA" w:rsidRPr="00E43218" w:rsidRDefault="00D55FEA"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Dès lors, il est temps, pour l’Alliance, de revenir à l’essentiel. Alors que, tout au long de ses 40 premières années d’existence, l’OTAN a mis l’accent sur la défense collective, les 25 années qui ont suivi ont été consacrées à mettre soigneusement au point un arsenal de moyens permettant de répondre aux crises et d’œuvrer en coopération avec les partenaires dans le cadre d’opérations menées dans le proche voisinage ou loin du territoire de l’Alliance. </w:t>
      </w:r>
      <w:r w:rsidR="00226F34" w:rsidRPr="00226F34">
        <w:rPr>
          <w:rFonts w:ascii="Arial" w:hAnsi="Arial" w:cs="Arial"/>
          <w:lang w:val="fr-FR"/>
        </w:rPr>
        <w:t>Simultanément</w:t>
      </w:r>
      <w:r w:rsidRPr="00E43218">
        <w:rPr>
          <w:rFonts w:ascii="Arial" w:hAnsi="Arial" w:cs="Arial"/>
          <w:lang w:val="fr-FR"/>
        </w:rPr>
        <w:t xml:space="preserve">, l’Alliance élargissait et approfondissait son champ d’action. Le panorama actuel de la menace exige qu’elle soit présente simultanément sur les fronts de la défense collective et de la dissuasion, et qu’elle puisse en même temps assurer des fonctions de réponse aux crises et de sécurité en coopération. Autrement dit, et à de nombreux égards, qu’elle prenne en charge l’ensemble du spectre </w:t>
      </w:r>
      <w:r w:rsidR="002F7548" w:rsidRPr="00E43218">
        <w:rPr>
          <w:rFonts w:ascii="Arial" w:hAnsi="Arial" w:cs="Arial"/>
          <w:lang w:val="fr-FR"/>
        </w:rPr>
        <w:t xml:space="preserve">en matière de </w:t>
      </w:r>
      <w:r w:rsidRPr="00E43218">
        <w:rPr>
          <w:rFonts w:ascii="Arial" w:hAnsi="Arial" w:cs="Arial"/>
          <w:lang w:val="fr-FR"/>
        </w:rPr>
        <w:t>sécurit</w:t>
      </w:r>
      <w:r w:rsidR="002F7548" w:rsidRPr="00E43218">
        <w:rPr>
          <w:rFonts w:ascii="Arial" w:hAnsi="Arial" w:cs="Arial"/>
          <w:lang w:val="fr-FR"/>
        </w:rPr>
        <w:t>é</w:t>
      </w:r>
      <w:r w:rsidRPr="00E43218">
        <w:rPr>
          <w:rFonts w:ascii="Arial" w:hAnsi="Arial" w:cs="Arial"/>
          <w:lang w:val="fr-FR"/>
        </w:rPr>
        <w:t>.</w:t>
      </w:r>
    </w:p>
    <w:p w14:paraId="199E1726" w14:textId="77777777" w:rsidR="00D55FEA" w:rsidRPr="00C8401C" w:rsidRDefault="00D55FEA" w:rsidP="00C8401C"/>
    <w:p w14:paraId="60EAB976" w14:textId="1DF3C4EE" w:rsidR="00D55FEA" w:rsidRPr="00226F34" w:rsidRDefault="00D55FEA"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Les mesures à prendre à cette fin sont évidentes. Premièrement, il faut que chaque </w:t>
      </w:r>
      <w:r w:rsidR="00E11330" w:rsidRPr="00E43218">
        <w:rPr>
          <w:rFonts w:ascii="Arial" w:hAnsi="Arial" w:cs="Arial"/>
          <w:lang w:val="fr-FR"/>
        </w:rPr>
        <w:t>État</w:t>
      </w:r>
      <w:r w:rsidRPr="00E43218">
        <w:rPr>
          <w:rFonts w:ascii="Arial" w:hAnsi="Arial" w:cs="Arial"/>
          <w:lang w:val="fr-FR"/>
        </w:rPr>
        <w:t xml:space="preserve"> membre renforce la défense collective au travers d’investissements pour la défense sur son territoire et dans sa région, et en contribuant à l’Alliance en tant que telle. </w:t>
      </w:r>
      <w:r w:rsidRPr="00226F34">
        <w:rPr>
          <w:rFonts w:ascii="Arial" w:hAnsi="Arial" w:cs="Arial"/>
          <w:lang w:val="fr-FR"/>
        </w:rPr>
        <w:t xml:space="preserve">L’état de préparation et la résilience ne pourront en effet s’améliorer que moyennant une nouvelle prise de conscience de l’importance de la solidarité face à toute une série de défis qui, s’ils touchent chaque </w:t>
      </w:r>
      <w:r w:rsidR="00E11330" w:rsidRPr="00226F34">
        <w:rPr>
          <w:rFonts w:ascii="Arial" w:hAnsi="Arial" w:cs="Arial"/>
          <w:lang w:val="fr-FR"/>
        </w:rPr>
        <w:t>État</w:t>
      </w:r>
      <w:r w:rsidRPr="00226F34">
        <w:rPr>
          <w:rFonts w:ascii="Arial" w:hAnsi="Arial" w:cs="Arial"/>
          <w:lang w:val="fr-FR"/>
        </w:rPr>
        <w:t xml:space="preserve"> membre d’une manière différente, n’en </w:t>
      </w:r>
      <w:r w:rsidR="00226F34" w:rsidRPr="00226F34">
        <w:rPr>
          <w:rFonts w:ascii="Arial" w:hAnsi="Arial" w:cs="Arial"/>
          <w:lang w:val="fr-FR"/>
        </w:rPr>
        <w:t>affectent</w:t>
      </w:r>
      <w:r w:rsidRPr="00226F34">
        <w:rPr>
          <w:rFonts w:ascii="Arial" w:hAnsi="Arial" w:cs="Arial"/>
          <w:lang w:val="fr-FR"/>
        </w:rPr>
        <w:t xml:space="preserve"> pas moins </w:t>
      </w:r>
      <w:r w:rsidR="00226F34">
        <w:rPr>
          <w:rFonts w:ascii="Arial" w:hAnsi="Arial" w:cs="Arial"/>
          <w:lang w:val="fr-FR"/>
        </w:rPr>
        <w:t>l'</w:t>
      </w:r>
      <w:r w:rsidRPr="00226F34">
        <w:rPr>
          <w:rFonts w:ascii="Arial" w:hAnsi="Arial" w:cs="Arial"/>
          <w:lang w:val="fr-FR"/>
        </w:rPr>
        <w:t xml:space="preserve">approche </w:t>
      </w:r>
      <w:r w:rsidR="00226F34">
        <w:rPr>
          <w:rFonts w:ascii="Arial" w:hAnsi="Arial" w:cs="Arial"/>
          <w:lang w:val="fr-FR"/>
        </w:rPr>
        <w:t xml:space="preserve">que chacun d'eux a </w:t>
      </w:r>
      <w:r w:rsidRPr="00226F34">
        <w:rPr>
          <w:rFonts w:ascii="Arial" w:hAnsi="Arial" w:cs="Arial"/>
          <w:lang w:val="fr-FR"/>
        </w:rPr>
        <w:t>de la paix et de la stabilité</w:t>
      </w:r>
      <w:r w:rsidR="00226F34">
        <w:rPr>
          <w:rFonts w:ascii="Arial" w:hAnsi="Arial" w:cs="Arial"/>
          <w:lang w:val="fr-FR"/>
        </w:rPr>
        <w:t xml:space="preserve"> sur son territoire</w:t>
      </w:r>
      <w:r w:rsidRPr="00226F34">
        <w:rPr>
          <w:rFonts w:ascii="Arial" w:hAnsi="Arial" w:cs="Arial"/>
          <w:lang w:val="fr-FR"/>
        </w:rPr>
        <w:t>.</w:t>
      </w:r>
    </w:p>
    <w:p w14:paraId="27D9C799" w14:textId="77777777" w:rsidR="00D55FEA" w:rsidRPr="00C8401C" w:rsidRDefault="00D55FEA" w:rsidP="00C8401C"/>
    <w:p w14:paraId="68CB095A" w14:textId="58AF1B8F" w:rsidR="00D55FEA" w:rsidRPr="00E43218" w:rsidRDefault="00D55FEA"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Il faudra, pour consolider la défense collective, que les Alliés revoient à la hausse les investissements dans leurs institutions de défense respectives. Le quadruplement du financement octroyé à l’Initiative de réassurance pour l’Europe montre </w:t>
      </w:r>
      <w:r w:rsidR="00F02033" w:rsidRPr="00E43218">
        <w:rPr>
          <w:rFonts w:ascii="Arial" w:hAnsi="Arial" w:cs="Arial"/>
          <w:lang w:val="fr-FR"/>
        </w:rPr>
        <w:t xml:space="preserve">clairement </w:t>
      </w:r>
      <w:r w:rsidRPr="00E43218">
        <w:rPr>
          <w:rFonts w:ascii="Arial" w:hAnsi="Arial" w:cs="Arial"/>
          <w:lang w:val="fr-FR"/>
        </w:rPr>
        <w:t xml:space="preserve">que les </w:t>
      </w:r>
      <w:r w:rsidR="00E11330" w:rsidRPr="00E43218">
        <w:rPr>
          <w:rFonts w:ascii="Arial" w:hAnsi="Arial" w:cs="Arial"/>
          <w:lang w:val="fr-FR"/>
        </w:rPr>
        <w:t>État</w:t>
      </w:r>
      <w:r w:rsidRPr="00E43218">
        <w:rPr>
          <w:rFonts w:ascii="Arial" w:hAnsi="Arial" w:cs="Arial"/>
          <w:lang w:val="fr-FR"/>
        </w:rPr>
        <w:t xml:space="preserve">s-Unis restent investis dans la sécurité européenne. </w:t>
      </w:r>
      <w:r w:rsidRPr="00805C2F">
        <w:rPr>
          <w:rFonts w:ascii="Arial" w:hAnsi="Arial" w:cs="Arial"/>
          <w:lang w:val="fr-FR"/>
        </w:rPr>
        <w:t>Une Initiative de réassurance pour l</w:t>
      </w:r>
      <w:r w:rsidR="00B03EA9" w:rsidRPr="00805C2F">
        <w:rPr>
          <w:rFonts w:ascii="Arial" w:hAnsi="Arial" w:cs="Arial"/>
          <w:lang w:val="fr-FR"/>
        </w:rPr>
        <w:t xml:space="preserve">es États-Unis </w:t>
      </w:r>
      <w:r w:rsidRPr="00805C2F">
        <w:rPr>
          <w:rFonts w:ascii="Arial" w:hAnsi="Arial" w:cs="Arial"/>
          <w:lang w:val="fr-FR"/>
        </w:rPr>
        <w:t>menée, cette fois, par les membres européens serait un bon moyen pour ces derniers d’afficher leur volonté collective de contrebalancer l’engage</w:t>
      </w:r>
      <w:r w:rsidR="00B03EA9" w:rsidRPr="00805C2F">
        <w:rPr>
          <w:rFonts w:ascii="Arial" w:hAnsi="Arial" w:cs="Arial"/>
          <w:lang w:val="fr-FR"/>
        </w:rPr>
        <w:t>ment des États-Unis</w:t>
      </w:r>
      <w:r w:rsidRPr="00805C2F">
        <w:rPr>
          <w:rFonts w:ascii="Arial" w:hAnsi="Arial" w:cs="Arial"/>
          <w:lang w:val="fr-FR"/>
        </w:rPr>
        <w:t xml:space="preserve"> par une participation plus active à la sécurité </w:t>
      </w:r>
      <w:r w:rsidR="00226F34" w:rsidRPr="00805C2F">
        <w:rPr>
          <w:rFonts w:ascii="Arial" w:hAnsi="Arial" w:cs="Arial"/>
          <w:lang w:val="fr-FR"/>
        </w:rPr>
        <w:t xml:space="preserve">pure et </w:t>
      </w:r>
      <w:r w:rsidRPr="00805C2F">
        <w:rPr>
          <w:rFonts w:ascii="Arial" w:hAnsi="Arial" w:cs="Arial"/>
          <w:lang w:val="fr-FR"/>
        </w:rPr>
        <w:t xml:space="preserve">dure. </w:t>
      </w:r>
      <w:r w:rsidRPr="00E43218">
        <w:rPr>
          <w:rFonts w:ascii="Arial" w:hAnsi="Arial" w:cs="Arial"/>
          <w:lang w:val="fr-FR"/>
        </w:rPr>
        <w:t>C’est là une condition essentielle pour une préparation et une dissuasion effective</w:t>
      </w:r>
      <w:r w:rsidR="009A2FD3" w:rsidRPr="00E43218">
        <w:rPr>
          <w:rFonts w:ascii="Arial" w:hAnsi="Arial" w:cs="Arial"/>
          <w:lang w:val="fr-FR"/>
        </w:rPr>
        <w:t>s</w:t>
      </w:r>
      <w:r w:rsidRPr="00E43218">
        <w:rPr>
          <w:rFonts w:ascii="Arial" w:hAnsi="Arial" w:cs="Arial"/>
          <w:lang w:val="fr-FR"/>
        </w:rPr>
        <w:t xml:space="preserve"> et soutenable</w:t>
      </w:r>
      <w:r w:rsidR="009A2FD3" w:rsidRPr="00E43218">
        <w:rPr>
          <w:rFonts w:ascii="Arial" w:hAnsi="Arial" w:cs="Arial"/>
          <w:lang w:val="fr-FR"/>
        </w:rPr>
        <w:t>s</w:t>
      </w:r>
      <w:r w:rsidRPr="00E43218">
        <w:rPr>
          <w:rFonts w:ascii="Arial" w:hAnsi="Arial" w:cs="Arial"/>
          <w:lang w:val="fr-FR"/>
        </w:rPr>
        <w:t xml:space="preserve"> </w:t>
      </w:r>
      <w:r w:rsidR="00B03EA9" w:rsidRPr="00E43218">
        <w:rPr>
          <w:rFonts w:ascii="Arial" w:hAnsi="Arial" w:cs="Arial"/>
          <w:lang w:val="fr-FR"/>
        </w:rPr>
        <w:t>à l’échelle</w:t>
      </w:r>
      <w:r w:rsidRPr="00E43218">
        <w:rPr>
          <w:rFonts w:ascii="Arial" w:hAnsi="Arial" w:cs="Arial"/>
          <w:lang w:val="fr-FR"/>
        </w:rPr>
        <w:t xml:space="preserve"> de l’Alliance.</w:t>
      </w:r>
    </w:p>
    <w:p w14:paraId="5032BA8E" w14:textId="77777777" w:rsidR="00D55FEA" w:rsidRPr="00C8401C" w:rsidRDefault="00D55FEA" w:rsidP="00C8401C"/>
    <w:p w14:paraId="452BB2E7" w14:textId="6FA18C75" w:rsidR="00D55FEA" w:rsidRPr="00E43218" w:rsidRDefault="00D55FEA"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Deuxièmement, malgré les divergences de vues sur la politique OTAN-Russie, l’unité reste la seule option. Nous devons, en tant qu’Alliés réunis à 28 autour d’une même table, continuer d’insister sur le fait que recourir à la force pour modifier les frontières politiques en Europe met la paix et la sécurité en péril sur l’ensemble du continent. La problématique de l’Ukraine doit être maintenue à l’ordre du jour et il faudra, dans ce contexte, trouver un moyen de relancer le dialogue avec la Russie, dans le but, certes, de l’amener à honorer sa part des engagements de Minsk, mais aussi de parvenir à un consensus sur une marche à suivre pragmatique, et de </w:t>
      </w:r>
      <w:r w:rsidR="004F3B9A" w:rsidRPr="00E43218">
        <w:rPr>
          <w:rFonts w:ascii="Arial" w:hAnsi="Arial" w:cs="Arial"/>
          <w:lang w:val="fr-FR"/>
        </w:rPr>
        <w:t>pouvoir</w:t>
      </w:r>
      <w:r w:rsidRPr="00E43218">
        <w:rPr>
          <w:rFonts w:ascii="Arial" w:hAnsi="Arial" w:cs="Arial"/>
          <w:lang w:val="fr-FR"/>
        </w:rPr>
        <w:t xml:space="preserve"> travailler avec elle sur des thèmes communs touchant à la sécurité mondiale, comme la montée d</w:t>
      </w:r>
      <w:r w:rsidR="002F7548" w:rsidRPr="00E43218">
        <w:rPr>
          <w:rFonts w:ascii="Arial" w:hAnsi="Arial" w:cs="Arial"/>
          <w:lang w:val="fr-FR"/>
        </w:rPr>
        <w:t>u</w:t>
      </w:r>
      <w:r w:rsidRPr="00E43218">
        <w:rPr>
          <w:rFonts w:ascii="Arial" w:hAnsi="Arial" w:cs="Arial"/>
          <w:lang w:val="fr-FR"/>
        </w:rPr>
        <w:t xml:space="preserve"> fléau qu’est le terrorisme.</w:t>
      </w:r>
    </w:p>
    <w:p w14:paraId="2E4855C0" w14:textId="77777777" w:rsidR="00A10B66" w:rsidRPr="00C8401C" w:rsidRDefault="00A10B66" w:rsidP="00C8401C"/>
    <w:p w14:paraId="64020138" w14:textId="3A3EF33E" w:rsidR="00D55FEA" w:rsidRPr="00E43218" w:rsidRDefault="00D55FEA"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Troisièmement, une action collective en faveur d’un cadre pluriel et global pour la sécurité dans le voisinage méridional de l’OTAN est absolument indispensable. Chaque </w:t>
      </w:r>
      <w:r w:rsidR="00E11330" w:rsidRPr="00E43218">
        <w:rPr>
          <w:rFonts w:ascii="Arial" w:hAnsi="Arial" w:cs="Arial"/>
          <w:lang w:val="fr-FR"/>
        </w:rPr>
        <w:t>État</w:t>
      </w:r>
      <w:r w:rsidRPr="00E43218">
        <w:rPr>
          <w:rFonts w:ascii="Arial" w:hAnsi="Arial" w:cs="Arial"/>
          <w:lang w:val="fr-FR"/>
        </w:rPr>
        <w:t xml:space="preserve"> membre doit apporter à la table de nouvelles idées pour une action collective plus efficace face aux défis présents dans cette région – qu’il s’agisse d’un meilleur partage du renseignement, de partenariats plus globaux avec les </w:t>
      </w:r>
      <w:r w:rsidR="00E11330" w:rsidRPr="00E43218">
        <w:rPr>
          <w:rFonts w:ascii="Arial" w:hAnsi="Arial" w:cs="Arial"/>
          <w:lang w:val="fr-FR"/>
        </w:rPr>
        <w:t>État</w:t>
      </w:r>
      <w:r w:rsidRPr="00E43218">
        <w:rPr>
          <w:rFonts w:ascii="Arial" w:hAnsi="Arial" w:cs="Arial"/>
          <w:lang w:val="fr-FR"/>
        </w:rPr>
        <w:t>s de la région et les organisations internationales ou d’efforts concertés de renforcement capacitaire dans des pays comme la Libye.</w:t>
      </w:r>
    </w:p>
    <w:p w14:paraId="3BF5B34F" w14:textId="77777777" w:rsidR="00D55FEA" w:rsidRPr="00C8401C" w:rsidRDefault="00D55FEA" w:rsidP="00C8401C"/>
    <w:p w14:paraId="5BECC21A" w14:textId="0665A597" w:rsidR="00D55FEA" w:rsidRPr="00E43218" w:rsidRDefault="00D55FEA"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Quatrièmement, l’Alliance doit continuer à concrétiser les promesses faites aux partenaires durant le</w:t>
      </w:r>
      <w:r w:rsidR="00F02033" w:rsidRPr="00E43218">
        <w:rPr>
          <w:rFonts w:ascii="Arial" w:hAnsi="Arial" w:cs="Arial"/>
          <w:lang w:val="fr-FR"/>
        </w:rPr>
        <w:t>s</w:t>
      </w:r>
      <w:r w:rsidRPr="00E43218">
        <w:rPr>
          <w:rFonts w:ascii="Arial" w:hAnsi="Arial" w:cs="Arial"/>
          <w:lang w:val="fr-FR"/>
        </w:rPr>
        <w:t xml:space="preserve"> sommet</w:t>
      </w:r>
      <w:r w:rsidR="00F02033" w:rsidRPr="00E43218">
        <w:rPr>
          <w:rFonts w:ascii="Arial" w:hAnsi="Arial" w:cs="Arial"/>
          <w:lang w:val="fr-FR"/>
        </w:rPr>
        <w:t>s</w:t>
      </w:r>
      <w:r w:rsidRPr="00E43218">
        <w:rPr>
          <w:rFonts w:ascii="Arial" w:hAnsi="Arial" w:cs="Arial"/>
          <w:lang w:val="fr-FR"/>
        </w:rPr>
        <w:t xml:space="preserve"> du pays de Galles</w:t>
      </w:r>
      <w:r w:rsidR="00F02033" w:rsidRPr="00E43218">
        <w:rPr>
          <w:rFonts w:ascii="Arial" w:hAnsi="Arial" w:cs="Arial"/>
          <w:lang w:val="fr-FR"/>
        </w:rPr>
        <w:t xml:space="preserve"> et de Varsovie</w:t>
      </w:r>
      <w:r w:rsidRPr="00E43218">
        <w:rPr>
          <w:rFonts w:ascii="Arial" w:hAnsi="Arial" w:cs="Arial"/>
          <w:lang w:val="fr-FR"/>
        </w:rPr>
        <w:t xml:space="preserve">, s’agissant notamment des partenariats renforcés. Il lui faudra également réaffirmer la politique de la porte ouverte, et délivrer ainsi aux opinions publiques intérieures et extérieures un message </w:t>
      </w:r>
      <w:r w:rsidR="00AA1BCA" w:rsidRPr="00E43218">
        <w:rPr>
          <w:rFonts w:ascii="Arial" w:hAnsi="Arial" w:cs="Arial"/>
          <w:lang w:val="fr-FR"/>
        </w:rPr>
        <w:t>fort</w:t>
      </w:r>
      <w:r w:rsidRPr="00E43218">
        <w:rPr>
          <w:rFonts w:ascii="Arial" w:hAnsi="Arial" w:cs="Arial"/>
          <w:lang w:val="fr-FR"/>
        </w:rPr>
        <w:t xml:space="preserve"> propre à renforcer sa crédibilité. </w:t>
      </w:r>
    </w:p>
    <w:p w14:paraId="24DF4892" w14:textId="77777777" w:rsidR="00D55FEA" w:rsidRPr="00C8401C" w:rsidRDefault="00D55FEA" w:rsidP="00C8401C"/>
    <w:p w14:paraId="24EFDCD0" w14:textId="58419B16" w:rsidR="00D55FEA" w:rsidRPr="00E43218" w:rsidRDefault="00D55FEA" w:rsidP="00C8401C">
      <w:pPr>
        <w:pStyle w:val="ListParagraph"/>
        <w:numPr>
          <w:ilvl w:val="0"/>
          <w:numId w:val="25"/>
        </w:numPr>
        <w:tabs>
          <w:tab w:val="left" w:pos="567"/>
        </w:tabs>
        <w:ind w:left="0" w:firstLine="0"/>
        <w:jc w:val="both"/>
        <w:rPr>
          <w:rFonts w:ascii="Arial" w:hAnsi="Arial" w:cs="Arial"/>
          <w:lang w:val="fr-FR"/>
        </w:rPr>
      </w:pPr>
      <w:r w:rsidRPr="00E43218">
        <w:rPr>
          <w:rFonts w:ascii="Arial" w:hAnsi="Arial" w:cs="Arial"/>
          <w:lang w:val="fr-FR"/>
        </w:rPr>
        <w:t xml:space="preserve">Toutes les recommandations énoncées ci-dessus mettent en exergue le message crucial que les membres de cette Assemblée devront emporter avec eux et faire passer auprès de leurs électorats et gouvernements respectifs, à savoir que la solidarité constitue, pour l’OTAN, la seule réponse aux défis sécuritaires du </w:t>
      </w:r>
      <w:r w:rsidR="00B03EA9" w:rsidRPr="00E43218">
        <w:rPr>
          <w:rFonts w:ascii="Arial" w:hAnsi="Arial" w:cs="Arial"/>
          <w:lang w:val="fr-FR"/>
        </w:rPr>
        <w:t>XXI</w:t>
      </w:r>
      <w:r w:rsidRPr="00E43218">
        <w:rPr>
          <w:rFonts w:ascii="Arial" w:hAnsi="Arial" w:cs="Arial"/>
          <w:vertAlign w:val="superscript"/>
          <w:lang w:val="fr-FR"/>
        </w:rPr>
        <w:t>e</w:t>
      </w:r>
      <w:r w:rsidRPr="00E43218">
        <w:rPr>
          <w:rFonts w:ascii="Arial" w:hAnsi="Arial" w:cs="Arial"/>
          <w:lang w:val="fr-FR"/>
        </w:rPr>
        <w:t xml:space="preserve"> siècle.</w:t>
      </w:r>
    </w:p>
    <w:p w14:paraId="3BFEA4EC" w14:textId="65B44419" w:rsidR="00393120" w:rsidRPr="00873F20" w:rsidRDefault="002F7548" w:rsidP="00393120">
      <w:pPr>
        <w:pStyle w:val="Heading1"/>
        <w:numPr>
          <w:ilvl w:val="0"/>
          <w:numId w:val="0"/>
        </w:numPr>
        <w:ind w:left="360" w:hanging="360"/>
        <w:jc w:val="center"/>
        <w:rPr>
          <w:shd w:val="clear" w:color="auto" w:fill="FFFFFF"/>
        </w:rPr>
      </w:pPr>
      <w:bookmarkStart w:id="22" w:name="_Toc449343115"/>
      <w:r w:rsidRPr="00393120">
        <w:rPr>
          <w:rFonts w:eastAsia="Calibri"/>
          <w:lang w:val="fr-BE"/>
        </w:rPr>
        <w:br w:type="page"/>
      </w:r>
      <w:bookmarkStart w:id="23" w:name="_Toc464810729"/>
      <w:r w:rsidR="00FC6E48">
        <w:rPr>
          <w:shd w:val="clear" w:color="auto" w:fill="FFFFFF"/>
        </w:rPr>
        <w:t>ANNEXES :</w:t>
      </w:r>
      <w:r w:rsidR="00393120" w:rsidRPr="00873F20">
        <w:rPr>
          <w:shd w:val="clear" w:color="auto" w:fill="FFFFFF"/>
        </w:rPr>
        <w:t xml:space="preserve"> INFORMATIONS COMPLÉMENTAIRES</w:t>
      </w:r>
      <w:bookmarkEnd w:id="23"/>
    </w:p>
    <w:p w14:paraId="3309CFFF" w14:textId="77777777" w:rsidR="00393120" w:rsidRPr="00873F20" w:rsidRDefault="00393120" w:rsidP="00393120">
      <w:pPr>
        <w:ind w:left="1701" w:right="1417"/>
        <w:jc w:val="center"/>
        <w:rPr>
          <w:b/>
          <w:shd w:val="clear" w:color="auto" w:fill="FFFFFF"/>
        </w:rPr>
      </w:pPr>
    </w:p>
    <w:p w14:paraId="1A7D3072" w14:textId="77777777" w:rsidR="00393120" w:rsidRPr="00873F20" w:rsidRDefault="00393120" w:rsidP="00393120">
      <w:pPr>
        <w:ind w:left="1701" w:right="1417"/>
        <w:jc w:val="center"/>
        <w:rPr>
          <w:b/>
          <w:shd w:val="clear" w:color="auto" w:fill="FFFFFF"/>
        </w:rPr>
      </w:pPr>
    </w:p>
    <w:p w14:paraId="4FB851D7" w14:textId="3BC4B6EF" w:rsidR="00393120" w:rsidRPr="00873F20" w:rsidRDefault="00FC6E48" w:rsidP="00FC6E48">
      <w:pPr>
        <w:tabs>
          <w:tab w:val="clear" w:pos="567"/>
          <w:tab w:val="left" w:pos="1134"/>
        </w:tabs>
        <w:ind w:left="2160" w:right="1417" w:hanging="2160"/>
        <w:jc w:val="left"/>
        <w:rPr>
          <w:b/>
          <w:shd w:val="clear" w:color="auto" w:fill="FFFFFF"/>
        </w:rPr>
      </w:pPr>
      <w:r>
        <w:rPr>
          <w:b/>
          <w:shd w:val="clear" w:color="auto" w:fill="FFFFFF"/>
        </w:rPr>
        <w:t>ANNEX</w:t>
      </w:r>
      <w:r w:rsidR="00393120" w:rsidRPr="00873F20">
        <w:rPr>
          <w:b/>
          <w:shd w:val="clear" w:color="auto" w:fill="FFFFFF"/>
        </w:rPr>
        <w:t>E A</w:t>
      </w:r>
      <w:r w:rsidR="00393120" w:rsidRPr="00873F20">
        <w:rPr>
          <w:b/>
          <w:shd w:val="clear" w:color="auto" w:fill="FFFFFF"/>
        </w:rPr>
        <w:tab/>
        <w:t>VENTILATION DES CONTRIBUTION</w:t>
      </w:r>
      <w:r w:rsidR="00393120">
        <w:rPr>
          <w:b/>
          <w:shd w:val="clear" w:color="auto" w:fill="FFFFFF"/>
        </w:rPr>
        <w:t>S</w:t>
      </w:r>
      <w:r w:rsidR="00322FF5">
        <w:rPr>
          <w:b/>
          <w:shd w:val="clear" w:color="auto" w:fill="FFFFFF"/>
        </w:rPr>
        <w:t xml:space="preserve"> DE TROUPES AU </w:t>
      </w:r>
      <w:r w:rsidR="00393120" w:rsidRPr="00873F20">
        <w:rPr>
          <w:b/>
          <w:shd w:val="clear" w:color="auto" w:fill="FFFFFF"/>
        </w:rPr>
        <w:t>TITRE DE LA DÉFENSE RENFORCÉE</w:t>
      </w:r>
      <w:r w:rsidR="00393120">
        <w:rPr>
          <w:b/>
          <w:shd w:val="clear" w:color="auto" w:fill="FFFFFF"/>
        </w:rPr>
        <w:t xml:space="preserve"> </w:t>
      </w:r>
      <w:proofErr w:type="spellStart"/>
      <w:r w:rsidR="00393120">
        <w:rPr>
          <w:b/>
          <w:shd w:val="clear" w:color="auto" w:fill="FFFFFF"/>
        </w:rPr>
        <w:t>A</w:t>
      </w:r>
      <w:proofErr w:type="spellEnd"/>
      <w:r w:rsidR="00393120">
        <w:rPr>
          <w:b/>
          <w:shd w:val="clear" w:color="auto" w:fill="FFFFFF"/>
        </w:rPr>
        <w:t xml:space="preserve"> L’AVANT</w:t>
      </w:r>
    </w:p>
    <w:p w14:paraId="6D28896F" w14:textId="77777777" w:rsidR="00393120" w:rsidRPr="00873F20" w:rsidRDefault="00393120" w:rsidP="00393120">
      <w:pPr>
        <w:ind w:right="1417"/>
        <w:jc w:val="left"/>
        <w:rPr>
          <w:b/>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390"/>
        <w:gridCol w:w="1742"/>
        <w:gridCol w:w="2521"/>
        <w:gridCol w:w="1401"/>
      </w:tblGrid>
      <w:tr w:rsidR="00393120" w:rsidRPr="00873F20" w14:paraId="6440D23D" w14:textId="77777777" w:rsidTr="00CD5281">
        <w:tc>
          <w:tcPr>
            <w:tcW w:w="0" w:type="auto"/>
            <w:shd w:val="clear" w:color="auto" w:fill="000000"/>
            <w:vAlign w:val="center"/>
          </w:tcPr>
          <w:p w14:paraId="472D497B" w14:textId="77777777" w:rsidR="00393120" w:rsidRPr="00873F20" w:rsidRDefault="00393120" w:rsidP="00CD5281">
            <w:pPr>
              <w:spacing w:before="100" w:beforeAutospacing="1" w:after="100" w:afterAutospacing="1"/>
              <w:jc w:val="center"/>
              <w:rPr>
                <w:lang w:eastAsia="fr-BE"/>
              </w:rPr>
            </w:pPr>
          </w:p>
        </w:tc>
        <w:tc>
          <w:tcPr>
            <w:tcW w:w="0" w:type="auto"/>
            <w:shd w:val="clear" w:color="auto" w:fill="auto"/>
            <w:vAlign w:val="center"/>
          </w:tcPr>
          <w:p w14:paraId="2F68CBBA" w14:textId="77777777" w:rsidR="00393120" w:rsidRPr="00873F20" w:rsidRDefault="00393120" w:rsidP="00CD5281">
            <w:pPr>
              <w:spacing w:before="100" w:beforeAutospacing="1" w:after="100" w:afterAutospacing="1"/>
              <w:jc w:val="center"/>
              <w:rPr>
                <w:b/>
                <w:lang w:eastAsia="fr-BE"/>
              </w:rPr>
            </w:pPr>
            <w:r w:rsidRPr="00873F20">
              <w:rPr>
                <w:b/>
                <w:lang w:eastAsia="fr-BE"/>
              </w:rPr>
              <w:t>Estonie</w:t>
            </w:r>
          </w:p>
        </w:tc>
        <w:tc>
          <w:tcPr>
            <w:tcW w:w="1742" w:type="dxa"/>
            <w:shd w:val="clear" w:color="auto" w:fill="auto"/>
            <w:vAlign w:val="center"/>
          </w:tcPr>
          <w:p w14:paraId="625C6274" w14:textId="77777777" w:rsidR="00393120" w:rsidRPr="00873F20" w:rsidRDefault="00393120" w:rsidP="00CD5281">
            <w:pPr>
              <w:spacing w:before="100" w:beforeAutospacing="1" w:after="100" w:afterAutospacing="1"/>
              <w:jc w:val="center"/>
              <w:rPr>
                <w:b/>
                <w:lang w:eastAsia="fr-BE"/>
              </w:rPr>
            </w:pPr>
            <w:r w:rsidRPr="00873F20">
              <w:rPr>
                <w:b/>
                <w:lang w:eastAsia="fr-BE"/>
              </w:rPr>
              <w:t>Lettonie</w:t>
            </w:r>
          </w:p>
        </w:tc>
        <w:tc>
          <w:tcPr>
            <w:tcW w:w="2521" w:type="dxa"/>
            <w:shd w:val="clear" w:color="auto" w:fill="auto"/>
            <w:vAlign w:val="center"/>
          </w:tcPr>
          <w:p w14:paraId="0D39EBB6" w14:textId="77777777" w:rsidR="00393120" w:rsidRPr="00873F20" w:rsidRDefault="00393120" w:rsidP="00CD5281">
            <w:pPr>
              <w:spacing w:before="100" w:beforeAutospacing="1" w:after="100" w:afterAutospacing="1"/>
              <w:jc w:val="center"/>
              <w:rPr>
                <w:b/>
                <w:lang w:eastAsia="fr-BE"/>
              </w:rPr>
            </w:pPr>
            <w:r w:rsidRPr="00873F20">
              <w:rPr>
                <w:b/>
                <w:lang w:eastAsia="fr-BE"/>
              </w:rPr>
              <w:t>Lituanie</w:t>
            </w:r>
          </w:p>
        </w:tc>
        <w:tc>
          <w:tcPr>
            <w:tcW w:w="0" w:type="auto"/>
            <w:shd w:val="clear" w:color="auto" w:fill="auto"/>
            <w:vAlign w:val="center"/>
          </w:tcPr>
          <w:p w14:paraId="02146A5B" w14:textId="77777777" w:rsidR="00393120" w:rsidRPr="00873F20" w:rsidRDefault="00393120" w:rsidP="00CD5281">
            <w:pPr>
              <w:spacing w:before="100" w:beforeAutospacing="1" w:after="100" w:afterAutospacing="1"/>
              <w:jc w:val="center"/>
              <w:rPr>
                <w:b/>
                <w:lang w:eastAsia="fr-BE"/>
              </w:rPr>
            </w:pPr>
            <w:r w:rsidRPr="00873F20">
              <w:rPr>
                <w:b/>
                <w:lang w:eastAsia="fr-BE"/>
              </w:rPr>
              <w:t>Pologne</w:t>
            </w:r>
          </w:p>
        </w:tc>
      </w:tr>
      <w:tr w:rsidR="00393120" w:rsidRPr="00873F20" w14:paraId="4F9E20D2" w14:textId="77777777" w:rsidTr="00CD5281">
        <w:trPr>
          <w:trHeight w:val="648"/>
        </w:trPr>
        <w:tc>
          <w:tcPr>
            <w:tcW w:w="0" w:type="auto"/>
            <w:shd w:val="clear" w:color="auto" w:fill="auto"/>
            <w:vAlign w:val="center"/>
          </w:tcPr>
          <w:p w14:paraId="25CE5C4F" w14:textId="1736DBDE" w:rsidR="00393120" w:rsidRPr="00873F20" w:rsidRDefault="00393120" w:rsidP="00CD5281">
            <w:pPr>
              <w:spacing w:before="100" w:beforeAutospacing="1" w:after="100" w:afterAutospacing="1"/>
              <w:jc w:val="center"/>
              <w:rPr>
                <w:b/>
                <w:lang w:eastAsia="fr-BE"/>
              </w:rPr>
            </w:pPr>
            <w:r>
              <w:rPr>
                <w:b/>
                <w:lang w:eastAsia="fr-BE"/>
              </w:rPr>
              <w:t>Pays-</w:t>
            </w:r>
            <w:r w:rsidRPr="00873F20">
              <w:rPr>
                <w:b/>
                <w:lang w:eastAsia="fr-BE"/>
              </w:rPr>
              <w:t>cadre (nombre d’hommes</w:t>
            </w:r>
            <w:r>
              <w:rPr>
                <w:b/>
                <w:lang w:eastAsia="fr-BE"/>
              </w:rPr>
              <w:t xml:space="preserve"> et femmes</w:t>
            </w:r>
            <w:r w:rsidRPr="00873F20">
              <w:rPr>
                <w:b/>
                <w:lang w:eastAsia="fr-BE"/>
              </w:rPr>
              <w:t>)</w:t>
            </w:r>
          </w:p>
        </w:tc>
        <w:tc>
          <w:tcPr>
            <w:tcW w:w="0" w:type="auto"/>
            <w:shd w:val="clear" w:color="auto" w:fill="auto"/>
            <w:vAlign w:val="center"/>
          </w:tcPr>
          <w:p w14:paraId="78B80DA0" w14:textId="77777777" w:rsidR="00393120" w:rsidRPr="00873F20" w:rsidRDefault="00393120" w:rsidP="00CD5281">
            <w:pPr>
              <w:spacing w:before="100" w:beforeAutospacing="1" w:after="100" w:afterAutospacing="1"/>
              <w:jc w:val="center"/>
              <w:rPr>
                <w:lang w:eastAsia="fr-BE"/>
              </w:rPr>
            </w:pPr>
            <w:r w:rsidRPr="00873F20">
              <w:rPr>
                <w:lang w:eastAsia="fr-BE"/>
              </w:rPr>
              <w:t>Royaume-Uni (500)</w:t>
            </w:r>
          </w:p>
        </w:tc>
        <w:tc>
          <w:tcPr>
            <w:tcW w:w="1742" w:type="dxa"/>
            <w:shd w:val="clear" w:color="auto" w:fill="auto"/>
            <w:vAlign w:val="center"/>
          </w:tcPr>
          <w:p w14:paraId="47EFA58A" w14:textId="77777777" w:rsidR="00393120" w:rsidRPr="00873F20" w:rsidRDefault="00393120" w:rsidP="00CD5281">
            <w:pPr>
              <w:spacing w:before="100" w:beforeAutospacing="1" w:after="100" w:afterAutospacing="1"/>
              <w:jc w:val="center"/>
              <w:rPr>
                <w:lang w:eastAsia="fr-BE"/>
              </w:rPr>
            </w:pPr>
            <w:r w:rsidRPr="00873F20">
              <w:rPr>
                <w:lang w:eastAsia="fr-BE"/>
              </w:rPr>
              <w:t>Canada (450)</w:t>
            </w:r>
          </w:p>
        </w:tc>
        <w:tc>
          <w:tcPr>
            <w:tcW w:w="2521" w:type="dxa"/>
            <w:shd w:val="clear" w:color="auto" w:fill="auto"/>
            <w:vAlign w:val="center"/>
          </w:tcPr>
          <w:p w14:paraId="4FAE870F" w14:textId="77777777" w:rsidR="00393120" w:rsidRPr="00873F20" w:rsidRDefault="00393120" w:rsidP="00CD5281">
            <w:pPr>
              <w:spacing w:before="100" w:beforeAutospacing="1" w:after="100" w:afterAutospacing="1"/>
              <w:jc w:val="center"/>
              <w:rPr>
                <w:lang w:eastAsia="fr-BE"/>
              </w:rPr>
            </w:pPr>
            <w:r w:rsidRPr="00873F20">
              <w:rPr>
                <w:lang w:eastAsia="fr-BE"/>
              </w:rPr>
              <w:t>Allemagne (600)</w:t>
            </w:r>
          </w:p>
        </w:tc>
        <w:tc>
          <w:tcPr>
            <w:tcW w:w="0" w:type="auto"/>
            <w:shd w:val="clear" w:color="auto" w:fill="auto"/>
            <w:vAlign w:val="center"/>
          </w:tcPr>
          <w:p w14:paraId="758021D0" w14:textId="77777777" w:rsidR="00393120" w:rsidRPr="00873F20" w:rsidRDefault="00393120" w:rsidP="00CD5281">
            <w:pPr>
              <w:spacing w:before="100" w:beforeAutospacing="1" w:after="100" w:afterAutospacing="1"/>
              <w:jc w:val="center"/>
              <w:rPr>
                <w:lang w:eastAsia="fr-BE"/>
              </w:rPr>
            </w:pPr>
            <w:r w:rsidRPr="00873F20">
              <w:rPr>
                <w:lang w:eastAsia="fr-BE"/>
              </w:rPr>
              <w:t>États-Unis (1 000)</w:t>
            </w:r>
          </w:p>
        </w:tc>
      </w:tr>
      <w:tr w:rsidR="00393120" w:rsidRPr="00873F20" w14:paraId="57D660ED" w14:textId="77777777" w:rsidTr="00CD5281">
        <w:tc>
          <w:tcPr>
            <w:tcW w:w="0" w:type="auto"/>
            <w:shd w:val="clear" w:color="auto" w:fill="auto"/>
            <w:vAlign w:val="center"/>
          </w:tcPr>
          <w:p w14:paraId="005E06AA" w14:textId="01D2F6EA" w:rsidR="00393120" w:rsidRPr="00873F20" w:rsidRDefault="00393120" w:rsidP="00CD5281">
            <w:pPr>
              <w:spacing w:before="100" w:beforeAutospacing="1" w:after="100" w:afterAutospacing="1"/>
              <w:jc w:val="center"/>
              <w:rPr>
                <w:b/>
                <w:lang w:eastAsia="fr-BE"/>
              </w:rPr>
            </w:pPr>
            <w:r w:rsidRPr="00873F20">
              <w:rPr>
                <w:b/>
                <w:lang w:eastAsia="fr-BE"/>
              </w:rPr>
              <w:t>Autres pays fournisseurs de troupes (nombre d’hommes</w:t>
            </w:r>
            <w:r>
              <w:rPr>
                <w:b/>
                <w:lang w:eastAsia="fr-BE"/>
              </w:rPr>
              <w:t xml:space="preserve"> et femmes</w:t>
            </w:r>
            <w:r w:rsidRPr="00873F20">
              <w:rPr>
                <w:b/>
                <w:lang w:eastAsia="fr-BE"/>
              </w:rPr>
              <w:t>)</w:t>
            </w:r>
          </w:p>
        </w:tc>
        <w:tc>
          <w:tcPr>
            <w:tcW w:w="0" w:type="auto"/>
            <w:shd w:val="clear" w:color="auto" w:fill="auto"/>
            <w:vAlign w:val="center"/>
          </w:tcPr>
          <w:p w14:paraId="32324A3A" w14:textId="77777777" w:rsidR="00393120" w:rsidRPr="00873F20" w:rsidRDefault="00393120" w:rsidP="00CD5281">
            <w:pPr>
              <w:spacing w:before="100" w:beforeAutospacing="1" w:after="100" w:afterAutospacing="1"/>
              <w:jc w:val="center"/>
              <w:rPr>
                <w:lang w:eastAsia="fr-BE"/>
              </w:rPr>
            </w:pPr>
            <w:r w:rsidRPr="00873F20">
              <w:rPr>
                <w:lang w:eastAsia="fr-BE"/>
              </w:rPr>
              <w:t>Danemark (200)</w:t>
            </w:r>
            <w:r w:rsidRPr="00873F20">
              <w:rPr>
                <w:lang w:eastAsia="fr-BE"/>
              </w:rPr>
              <w:br/>
              <w:t>France (150)</w:t>
            </w:r>
          </w:p>
        </w:tc>
        <w:tc>
          <w:tcPr>
            <w:tcW w:w="1742" w:type="dxa"/>
            <w:shd w:val="clear" w:color="auto" w:fill="auto"/>
            <w:vAlign w:val="center"/>
          </w:tcPr>
          <w:p w14:paraId="4E565BD4" w14:textId="77777777" w:rsidR="00393120" w:rsidRPr="00873F20" w:rsidRDefault="00393120" w:rsidP="00CD5281">
            <w:pPr>
              <w:spacing w:before="100" w:beforeAutospacing="1" w:after="100" w:afterAutospacing="1"/>
              <w:jc w:val="center"/>
              <w:rPr>
                <w:lang w:eastAsia="fr-BE"/>
              </w:rPr>
            </w:pPr>
            <w:r w:rsidRPr="00873F20">
              <w:rPr>
                <w:lang w:eastAsia="fr-BE"/>
              </w:rPr>
              <w:t>Pologne (150)</w:t>
            </w:r>
            <w:r w:rsidRPr="00873F20">
              <w:rPr>
                <w:lang w:eastAsia="fr-BE"/>
              </w:rPr>
              <w:br/>
              <w:t>Italie, Slovénie, Portugal (non confirmé)</w:t>
            </w:r>
          </w:p>
        </w:tc>
        <w:tc>
          <w:tcPr>
            <w:tcW w:w="2521" w:type="dxa"/>
            <w:shd w:val="clear" w:color="auto" w:fill="auto"/>
            <w:vAlign w:val="center"/>
          </w:tcPr>
          <w:p w14:paraId="620DA430" w14:textId="77777777" w:rsidR="00393120" w:rsidRPr="00873F20" w:rsidRDefault="00393120" w:rsidP="00CD5281">
            <w:pPr>
              <w:spacing w:before="100" w:beforeAutospacing="1" w:after="100" w:afterAutospacing="1"/>
              <w:jc w:val="center"/>
              <w:rPr>
                <w:lang w:eastAsia="fr-BE"/>
              </w:rPr>
            </w:pPr>
            <w:r w:rsidRPr="00873F20">
              <w:rPr>
                <w:lang w:eastAsia="fr-BE"/>
              </w:rPr>
              <w:t>Norvège (200), Pays-Bas (100-150),</w:t>
            </w:r>
            <w:r w:rsidRPr="00873F20">
              <w:rPr>
                <w:lang w:eastAsia="fr-BE"/>
              </w:rPr>
              <w:br/>
              <w:t>Belgique (150),</w:t>
            </w:r>
            <w:r w:rsidRPr="00873F20">
              <w:rPr>
                <w:lang w:eastAsia="fr-BE"/>
              </w:rPr>
              <w:br/>
              <w:t>Croatie (150),</w:t>
            </w:r>
            <w:r w:rsidRPr="00873F20">
              <w:rPr>
                <w:lang w:eastAsia="fr-BE"/>
              </w:rPr>
              <w:br/>
              <w:t>Luxembourg (50),</w:t>
            </w:r>
            <w:r w:rsidRPr="00873F20">
              <w:rPr>
                <w:lang w:eastAsia="fr-BE"/>
              </w:rPr>
              <w:br/>
              <w:t>France (150 en 2018, non confirmé)</w:t>
            </w:r>
          </w:p>
        </w:tc>
        <w:tc>
          <w:tcPr>
            <w:tcW w:w="0" w:type="auto"/>
            <w:shd w:val="clear" w:color="auto" w:fill="auto"/>
            <w:vAlign w:val="center"/>
          </w:tcPr>
          <w:p w14:paraId="4060ACEA" w14:textId="77777777" w:rsidR="00393120" w:rsidRPr="00873F20" w:rsidRDefault="00393120" w:rsidP="00CD5281">
            <w:pPr>
              <w:spacing w:before="100" w:beforeAutospacing="1" w:after="100" w:afterAutospacing="1"/>
              <w:jc w:val="center"/>
              <w:rPr>
                <w:lang w:eastAsia="fr-BE"/>
              </w:rPr>
            </w:pPr>
            <w:r w:rsidRPr="00873F20">
              <w:rPr>
                <w:lang w:eastAsia="fr-BE"/>
              </w:rPr>
              <w:t>Royaume-Uni (150),</w:t>
            </w:r>
            <w:r w:rsidRPr="00873F20">
              <w:rPr>
                <w:lang w:eastAsia="fr-BE"/>
              </w:rPr>
              <w:br/>
              <w:t>Roumanie (150)</w:t>
            </w:r>
          </w:p>
        </w:tc>
      </w:tr>
    </w:tbl>
    <w:p w14:paraId="56514EB8" w14:textId="77777777" w:rsidR="00393120" w:rsidRPr="00873F20" w:rsidRDefault="00393120" w:rsidP="00393120">
      <w:pPr>
        <w:ind w:right="1417"/>
        <w:jc w:val="left"/>
        <w:rPr>
          <w:b/>
          <w:bCs/>
        </w:rPr>
      </w:pPr>
    </w:p>
    <w:p w14:paraId="0845D4E5" w14:textId="1CAA6658" w:rsidR="00393120" w:rsidRPr="00873F20" w:rsidRDefault="00FC6E48" w:rsidP="00393120">
      <w:pPr>
        <w:ind w:right="1134"/>
        <w:jc w:val="left"/>
        <w:rPr>
          <w:b/>
          <w:bCs/>
        </w:rPr>
      </w:pPr>
      <w:r>
        <w:rPr>
          <w:b/>
          <w:bCs/>
        </w:rPr>
        <w:t>ANNEX</w:t>
      </w:r>
      <w:r w:rsidR="00393120" w:rsidRPr="00873F20">
        <w:rPr>
          <w:b/>
          <w:bCs/>
        </w:rPr>
        <w:t>E B</w:t>
      </w:r>
      <w:r w:rsidR="00393120" w:rsidRPr="00873F20">
        <w:rPr>
          <w:b/>
          <w:bCs/>
        </w:rPr>
        <w:tab/>
      </w:r>
      <w:r>
        <w:rPr>
          <w:b/>
          <w:bCs/>
        </w:rPr>
        <w:tab/>
      </w:r>
      <w:r w:rsidR="00393120" w:rsidRPr="00873F20">
        <w:rPr>
          <w:b/>
          <w:bCs/>
        </w:rPr>
        <w:t xml:space="preserve">PRÉVISIONS DES DÉPENSES DE DÉFENSE POUR 2016 </w:t>
      </w:r>
      <w:r w:rsidR="00393120" w:rsidRPr="00873F20">
        <w:rPr>
          <w:b/>
          <w:bCs/>
        </w:rPr>
        <w:tab/>
      </w:r>
      <w:r w:rsidR="00393120" w:rsidRPr="00873F20">
        <w:rPr>
          <w:b/>
          <w:bCs/>
        </w:rPr>
        <w:tab/>
      </w:r>
      <w:r w:rsidR="00393120" w:rsidRPr="00873F20">
        <w:rPr>
          <w:b/>
          <w:bCs/>
        </w:rPr>
        <w:tab/>
      </w:r>
      <w:r w:rsidR="00393120" w:rsidRPr="00873F20">
        <w:rPr>
          <w:b/>
          <w:bCs/>
        </w:rPr>
        <w:tab/>
        <w:t>(en % du PIB, prix de 2010)</w:t>
      </w:r>
    </w:p>
    <w:p w14:paraId="7A0505D1" w14:textId="77777777" w:rsidR="00393120" w:rsidRPr="00873F20" w:rsidRDefault="00393120" w:rsidP="00393120">
      <w:pPr>
        <w:ind w:right="1417"/>
        <w:jc w:val="left"/>
        <w:rPr>
          <w:b/>
        </w:rPr>
      </w:pPr>
      <w:r w:rsidRPr="00873F20">
        <w:rPr>
          <w:b/>
          <w:noProof/>
          <w:lang w:val="en-GB" w:eastAsia="en-GB"/>
        </w:rPr>
        <w:drawing>
          <wp:inline distT="0" distB="0" distL="0" distR="0" wp14:anchorId="6598D374" wp14:editId="32F5035A">
            <wp:extent cx="6134100" cy="2425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t="15155"/>
                    <a:stretch>
                      <a:fillRect/>
                    </a:stretch>
                  </pic:blipFill>
                  <pic:spPr bwMode="auto">
                    <a:xfrm>
                      <a:off x="0" y="0"/>
                      <a:ext cx="6134100" cy="2425700"/>
                    </a:xfrm>
                    <a:prstGeom prst="rect">
                      <a:avLst/>
                    </a:prstGeom>
                    <a:noFill/>
                    <a:ln>
                      <a:noFill/>
                    </a:ln>
                  </pic:spPr>
                </pic:pic>
              </a:graphicData>
            </a:graphic>
          </wp:inline>
        </w:drawing>
      </w:r>
    </w:p>
    <w:p w14:paraId="2DBD1EB5" w14:textId="77777777" w:rsidR="00393120" w:rsidRPr="00873F20" w:rsidRDefault="00393120" w:rsidP="00393120">
      <w:pPr>
        <w:ind w:right="1417"/>
        <w:jc w:val="left"/>
        <w:rPr>
          <w:b/>
        </w:rPr>
      </w:pPr>
    </w:p>
    <w:p w14:paraId="4B4FE24A" w14:textId="04665738" w:rsidR="00393120" w:rsidRPr="00873F20" w:rsidRDefault="00393120" w:rsidP="00393120">
      <w:pPr>
        <w:ind w:left="2160" w:hanging="2160"/>
        <w:jc w:val="left"/>
        <w:rPr>
          <w:b/>
        </w:rPr>
      </w:pPr>
      <w:r w:rsidRPr="00873F20">
        <w:rPr>
          <w:b/>
        </w:rPr>
        <w:t>A</w:t>
      </w:r>
      <w:r w:rsidR="00FC6E48">
        <w:rPr>
          <w:b/>
        </w:rPr>
        <w:t>NNEXE</w:t>
      </w:r>
      <w:r w:rsidRPr="00873F20">
        <w:rPr>
          <w:b/>
        </w:rPr>
        <w:t xml:space="preserve"> C</w:t>
      </w:r>
      <w:r w:rsidRPr="00873F20">
        <w:rPr>
          <w:b/>
        </w:rPr>
        <w:tab/>
        <w:t xml:space="preserve">PRÉVISIONS DES DÉPENSES AU TITRE DES </w:t>
      </w:r>
      <w:r>
        <w:rPr>
          <w:b/>
        </w:rPr>
        <w:t>ÉQUIPEMENTS</w:t>
      </w:r>
      <w:r w:rsidRPr="00873F20">
        <w:rPr>
          <w:b/>
        </w:rPr>
        <w:t xml:space="preserve"> POUR 2016 </w:t>
      </w:r>
      <w:r w:rsidRPr="00873F20">
        <w:rPr>
          <w:b/>
        </w:rPr>
        <w:tab/>
        <w:t>(en % des dépenses de défense, prix de 2010)</w:t>
      </w:r>
    </w:p>
    <w:p w14:paraId="52A9173C" w14:textId="77777777" w:rsidR="00393120" w:rsidRPr="00873F20" w:rsidRDefault="00393120" w:rsidP="00393120">
      <w:pPr>
        <w:ind w:right="1417"/>
        <w:jc w:val="left"/>
        <w:rPr>
          <w:b/>
        </w:rPr>
      </w:pPr>
      <w:r w:rsidRPr="00873F20">
        <w:rPr>
          <w:b/>
          <w:noProof/>
          <w:lang w:val="en-GB" w:eastAsia="en-GB"/>
        </w:rPr>
        <w:drawing>
          <wp:inline distT="0" distB="0" distL="0" distR="0" wp14:anchorId="7C8E50FC" wp14:editId="7AC5C3B6">
            <wp:extent cx="6146800" cy="2425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t="11925"/>
                    <a:stretch>
                      <a:fillRect/>
                    </a:stretch>
                  </pic:blipFill>
                  <pic:spPr bwMode="auto">
                    <a:xfrm>
                      <a:off x="0" y="0"/>
                      <a:ext cx="6146800" cy="2425700"/>
                    </a:xfrm>
                    <a:prstGeom prst="rect">
                      <a:avLst/>
                    </a:prstGeom>
                    <a:noFill/>
                    <a:ln>
                      <a:noFill/>
                    </a:ln>
                  </pic:spPr>
                </pic:pic>
              </a:graphicData>
            </a:graphic>
          </wp:inline>
        </w:drawing>
      </w:r>
    </w:p>
    <w:p w14:paraId="3BED3748" w14:textId="77777777" w:rsidR="00393120" w:rsidRPr="00873F20" w:rsidRDefault="00393120" w:rsidP="00393120">
      <w:pPr>
        <w:ind w:right="1417"/>
        <w:jc w:val="left"/>
        <w:rPr>
          <w:b/>
        </w:rPr>
      </w:pPr>
    </w:p>
    <w:p w14:paraId="166EA0DF" w14:textId="77777777" w:rsidR="00393120" w:rsidRPr="00873F20" w:rsidRDefault="00393120" w:rsidP="00393120">
      <w:pPr>
        <w:ind w:right="1417"/>
        <w:jc w:val="left"/>
        <w:rPr>
          <w:b/>
        </w:rPr>
      </w:pPr>
    </w:p>
    <w:p w14:paraId="2D1E4B14" w14:textId="3735A058" w:rsidR="00393120" w:rsidRPr="00873F20" w:rsidRDefault="00FC6E48" w:rsidP="00393120">
      <w:pPr>
        <w:ind w:right="992"/>
        <w:jc w:val="left"/>
        <w:rPr>
          <w:b/>
        </w:rPr>
      </w:pPr>
      <w:r>
        <w:rPr>
          <w:b/>
        </w:rPr>
        <w:t>ANNEXE</w:t>
      </w:r>
      <w:r w:rsidR="00393120" w:rsidRPr="00873F20">
        <w:rPr>
          <w:b/>
        </w:rPr>
        <w:t xml:space="preserve"> D</w:t>
      </w:r>
      <w:r w:rsidR="00393120" w:rsidRPr="00873F20">
        <w:rPr>
          <w:b/>
        </w:rPr>
        <w:tab/>
      </w:r>
      <w:r>
        <w:rPr>
          <w:b/>
        </w:rPr>
        <w:tab/>
      </w:r>
      <w:r w:rsidR="00393120" w:rsidRPr="00873F20">
        <w:rPr>
          <w:b/>
        </w:rPr>
        <w:t>CHIFFRES CLÉS DES DÉPENSES DE DÉFENSE POUR 2016</w:t>
      </w:r>
    </w:p>
    <w:p w14:paraId="7E32FD5A" w14:textId="77777777" w:rsidR="00393120" w:rsidRPr="00873F20" w:rsidRDefault="00393120" w:rsidP="00393120">
      <w:pPr>
        <w:ind w:right="1417"/>
        <w:jc w:val="left"/>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753"/>
        <w:gridCol w:w="2059"/>
        <w:gridCol w:w="3149"/>
      </w:tblGrid>
      <w:tr w:rsidR="00393120" w:rsidRPr="00873F20" w14:paraId="02681C9C" w14:textId="77777777" w:rsidTr="00CD5281">
        <w:trPr>
          <w:trHeight w:val="340"/>
        </w:trPr>
        <w:tc>
          <w:tcPr>
            <w:tcW w:w="1844" w:type="dxa"/>
            <w:shd w:val="clear" w:color="auto" w:fill="auto"/>
          </w:tcPr>
          <w:p w14:paraId="052E63A7" w14:textId="77777777" w:rsidR="00393120" w:rsidRPr="00873F20" w:rsidRDefault="00393120" w:rsidP="00CD5281">
            <w:pPr>
              <w:jc w:val="center"/>
              <w:rPr>
                <w:b/>
                <w:sz w:val="20"/>
                <w:szCs w:val="20"/>
              </w:rPr>
            </w:pPr>
            <w:r w:rsidRPr="00873F20">
              <w:rPr>
                <w:b/>
                <w:sz w:val="20"/>
                <w:szCs w:val="20"/>
              </w:rPr>
              <w:t>Pays</w:t>
            </w:r>
          </w:p>
        </w:tc>
        <w:tc>
          <w:tcPr>
            <w:tcW w:w="2753" w:type="dxa"/>
            <w:shd w:val="clear" w:color="auto" w:fill="auto"/>
          </w:tcPr>
          <w:p w14:paraId="5FB1BE2E" w14:textId="77777777" w:rsidR="00393120" w:rsidRPr="00873F20" w:rsidRDefault="00393120" w:rsidP="00CD5281">
            <w:pPr>
              <w:jc w:val="center"/>
              <w:rPr>
                <w:b/>
                <w:sz w:val="20"/>
                <w:szCs w:val="20"/>
              </w:rPr>
            </w:pPr>
            <w:r w:rsidRPr="00873F20">
              <w:rPr>
                <w:b/>
                <w:sz w:val="20"/>
                <w:szCs w:val="20"/>
              </w:rPr>
              <w:t xml:space="preserve">Dép. de défense en % du PIB (2016), chiffres estimatifs </w:t>
            </w:r>
          </w:p>
        </w:tc>
        <w:tc>
          <w:tcPr>
            <w:tcW w:w="0" w:type="auto"/>
            <w:shd w:val="clear" w:color="auto" w:fill="auto"/>
          </w:tcPr>
          <w:p w14:paraId="40D9D39C" w14:textId="77777777" w:rsidR="00393120" w:rsidRPr="00873F20" w:rsidRDefault="00393120" w:rsidP="00CD5281">
            <w:pPr>
              <w:jc w:val="center"/>
              <w:rPr>
                <w:b/>
                <w:sz w:val="20"/>
                <w:szCs w:val="20"/>
              </w:rPr>
            </w:pPr>
            <w:r w:rsidRPr="00873F20">
              <w:rPr>
                <w:b/>
                <w:sz w:val="20"/>
                <w:szCs w:val="20"/>
              </w:rPr>
              <w:t xml:space="preserve">Évolution annuelle réelle (en %) </w:t>
            </w:r>
          </w:p>
        </w:tc>
        <w:tc>
          <w:tcPr>
            <w:tcW w:w="0" w:type="auto"/>
            <w:shd w:val="clear" w:color="auto" w:fill="auto"/>
          </w:tcPr>
          <w:p w14:paraId="7F97ECE5" w14:textId="77777777" w:rsidR="00393120" w:rsidRPr="00873F20" w:rsidRDefault="00393120" w:rsidP="00CD5281">
            <w:pPr>
              <w:jc w:val="center"/>
              <w:rPr>
                <w:b/>
                <w:sz w:val="20"/>
                <w:szCs w:val="20"/>
              </w:rPr>
            </w:pPr>
            <w:r w:rsidRPr="00873F20">
              <w:rPr>
                <w:b/>
                <w:sz w:val="20"/>
                <w:szCs w:val="20"/>
              </w:rPr>
              <w:t xml:space="preserve">% des dépenses de défense au titre des </w:t>
            </w:r>
            <w:r>
              <w:rPr>
                <w:b/>
                <w:sz w:val="20"/>
                <w:szCs w:val="20"/>
              </w:rPr>
              <w:t>équipements</w:t>
            </w:r>
          </w:p>
        </w:tc>
      </w:tr>
      <w:tr w:rsidR="00393120" w:rsidRPr="00873F20" w14:paraId="643F8A86" w14:textId="77777777" w:rsidTr="00CD5281">
        <w:trPr>
          <w:trHeight w:hRule="exact" w:val="284"/>
        </w:trPr>
        <w:tc>
          <w:tcPr>
            <w:tcW w:w="1844" w:type="dxa"/>
            <w:shd w:val="clear" w:color="auto" w:fill="auto"/>
            <w:vAlign w:val="center"/>
          </w:tcPr>
          <w:p w14:paraId="6F1E3342" w14:textId="77777777" w:rsidR="00393120" w:rsidRPr="00873F20" w:rsidRDefault="00393120" w:rsidP="00CD5281">
            <w:pPr>
              <w:jc w:val="center"/>
              <w:rPr>
                <w:b/>
                <w:sz w:val="20"/>
                <w:szCs w:val="20"/>
              </w:rPr>
            </w:pPr>
            <w:r w:rsidRPr="00873F20">
              <w:rPr>
                <w:b/>
                <w:sz w:val="20"/>
                <w:szCs w:val="20"/>
              </w:rPr>
              <w:t>Albanie</w:t>
            </w:r>
          </w:p>
        </w:tc>
        <w:tc>
          <w:tcPr>
            <w:tcW w:w="2753" w:type="dxa"/>
            <w:shd w:val="clear" w:color="auto" w:fill="auto"/>
            <w:vAlign w:val="center"/>
          </w:tcPr>
          <w:p w14:paraId="74A159B8" w14:textId="77777777" w:rsidR="00393120" w:rsidRPr="00873F20" w:rsidRDefault="00393120" w:rsidP="00CD5281">
            <w:pPr>
              <w:jc w:val="center"/>
              <w:rPr>
                <w:sz w:val="20"/>
                <w:szCs w:val="20"/>
              </w:rPr>
            </w:pPr>
            <w:r w:rsidRPr="00873F20">
              <w:rPr>
                <w:sz w:val="20"/>
                <w:szCs w:val="20"/>
              </w:rPr>
              <w:t>1,21</w:t>
            </w:r>
          </w:p>
        </w:tc>
        <w:tc>
          <w:tcPr>
            <w:tcW w:w="0" w:type="auto"/>
            <w:shd w:val="clear" w:color="auto" w:fill="auto"/>
            <w:vAlign w:val="center"/>
          </w:tcPr>
          <w:p w14:paraId="6CFBEA97" w14:textId="77777777" w:rsidR="00393120" w:rsidRPr="00873F20" w:rsidRDefault="00393120" w:rsidP="00CD5281">
            <w:pPr>
              <w:jc w:val="center"/>
              <w:rPr>
                <w:sz w:val="20"/>
                <w:szCs w:val="20"/>
              </w:rPr>
            </w:pPr>
            <w:r w:rsidRPr="00873F20">
              <w:rPr>
                <w:sz w:val="20"/>
                <w:szCs w:val="20"/>
              </w:rPr>
              <w:t>+7,95</w:t>
            </w:r>
          </w:p>
        </w:tc>
        <w:tc>
          <w:tcPr>
            <w:tcW w:w="0" w:type="auto"/>
            <w:shd w:val="clear" w:color="auto" w:fill="auto"/>
            <w:vAlign w:val="center"/>
          </w:tcPr>
          <w:p w14:paraId="1763A1B6" w14:textId="77777777" w:rsidR="00393120" w:rsidRPr="00873F20" w:rsidRDefault="00393120" w:rsidP="00CD5281">
            <w:pPr>
              <w:jc w:val="center"/>
              <w:rPr>
                <w:sz w:val="20"/>
                <w:szCs w:val="20"/>
              </w:rPr>
            </w:pPr>
            <w:r w:rsidRPr="00873F20">
              <w:rPr>
                <w:sz w:val="20"/>
                <w:szCs w:val="20"/>
              </w:rPr>
              <w:t>7,81</w:t>
            </w:r>
          </w:p>
        </w:tc>
      </w:tr>
      <w:tr w:rsidR="00393120" w:rsidRPr="00873F20" w14:paraId="230F2E9A" w14:textId="77777777" w:rsidTr="00CD5281">
        <w:trPr>
          <w:trHeight w:hRule="exact" w:val="284"/>
        </w:trPr>
        <w:tc>
          <w:tcPr>
            <w:tcW w:w="1844" w:type="dxa"/>
            <w:shd w:val="clear" w:color="auto" w:fill="auto"/>
            <w:vAlign w:val="center"/>
          </w:tcPr>
          <w:p w14:paraId="74B2147D" w14:textId="77777777" w:rsidR="00393120" w:rsidRPr="00873F20" w:rsidRDefault="00393120" w:rsidP="00CD5281">
            <w:pPr>
              <w:jc w:val="center"/>
              <w:rPr>
                <w:b/>
                <w:sz w:val="20"/>
                <w:szCs w:val="20"/>
              </w:rPr>
            </w:pPr>
            <w:r w:rsidRPr="00873F20">
              <w:rPr>
                <w:b/>
                <w:sz w:val="20"/>
                <w:szCs w:val="20"/>
              </w:rPr>
              <w:t>Belgique</w:t>
            </w:r>
          </w:p>
        </w:tc>
        <w:tc>
          <w:tcPr>
            <w:tcW w:w="2753" w:type="dxa"/>
            <w:shd w:val="clear" w:color="auto" w:fill="auto"/>
            <w:vAlign w:val="center"/>
          </w:tcPr>
          <w:p w14:paraId="6EC8E922" w14:textId="77777777" w:rsidR="00393120" w:rsidRPr="00873F20" w:rsidRDefault="00393120" w:rsidP="00CD5281">
            <w:pPr>
              <w:jc w:val="center"/>
              <w:rPr>
                <w:sz w:val="20"/>
                <w:szCs w:val="20"/>
              </w:rPr>
            </w:pPr>
            <w:r w:rsidRPr="00873F20">
              <w:rPr>
                <w:sz w:val="20"/>
                <w:szCs w:val="20"/>
              </w:rPr>
              <w:t>0,85</w:t>
            </w:r>
          </w:p>
        </w:tc>
        <w:tc>
          <w:tcPr>
            <w:tcW w:w="0" w:type="auto"/>
            <w:shd w:val="clear" w:color="auto" w:fill="auto"/>
            <w:vAlign w:val="center"/>
          </w:tcPr>
          <w:p w14:paraId="2CA4A295" w14:textId="77777777" w:rsidR="00393120" w:rsidRPr="00873F20" w:rsidRDefault="00393120" w:rsidP="00CD5281">
            <w:pPr>
              <w:jc w:val="center"/>
              <w:rPr>
                <w:sz w:val="20"/>
                <w:szCs w:val="20"/>
              </w:rPr>
            </w:pPr>
            <w:r w:rsidRPr="00873F20">
              <w:rPr>
                <w:sz w:val="20"/>
                <w:szCs w:val="20"/>
              </w:rPr>
              <w:t>-5,30</w:t>
            </w:r>
          </w:p>
        </w:tc>
        <w:tc>
          <w:tcPr>
            <w:tcW w:w="0" w:type="auto"/>
            <w:shd w:val="clear" w:color="auto" w:fill="auto"/>
            <w:vAlign w:val="center"/>
          </w:tcPr>
          <w:p w14:paraId="42FDF0E4" w14:textId="77777777" w:rsidR="00393120" w:rsidRPr="00873F20" w:rsidRDefault="00393120" w:rsidP="00CD5281">
            <w:pPr>
              <w:jc w:val="center"/>
              <w:rPr>
                <w:sz w:val="20"/>
                <w:szCs w:val="20"/>
              </w:rPr>
            </w:pPr>
            <w:r w:rsidRPr="00873F20">
              <w:rPr>
                <w:sz w:val="20"/>
                <w:szCs w:val="20"/>
              </w:rPr>
              <w:t>2,17</w:t>
            </w:r>
          </w:p>
        </w:tc>
      </w:tr>
      <w:tr w:rsidR="00393120" w:rsidRPr="00873F20" w14:paraId="4BFC1FE4" w14:textId="77777777" w:rsidTr="00CD5281">
        <w:trPr>
          <w:trHeight w:hRule="exact" w:val="284"/>
        </w:trPr>
        <w:tc>
          <w:tcPr>
            <w:tcW w:w="1844" w:type="dxa"/>
            <w:shd w:val="clear" w:color="auto" w:fill="auto"/>
            <w:vAlign w:val="center"/>
          </w:tcPr>
          <w:p w14:paraId="187B8045" w14:textId="77777777" w:rsidR="00393120" w:rsidRPr="00873F20" w:rsidRDefault="00393120" w:rsidP="00CD5281">
            <w:pPr>
              <w:jc w:val="center"/>
              <w:rPr>
                <w:b/>
                <w:sz w:val="20"/>
                <w:szCs w:val="20"/>
              </w:rPr>
            </w:pPr>
            <w:r w:rsidRPr="00873F20">
              <w:rPr>
                <w:b/>
                <w:sz w:val="20"/>
                <w:szCs w:val="20"/>
              </w:rPr>
              <w:t>Bulgarie</w:t>
            </w:r>
          </w:p>
        </w:tc>
        <w:tc>
          <w:tcPr>
            <w:tcW w:w="2753" w:type="dxa"/>
            <w:shd w:val="clear" w:color="auto" w:fill="auto"/>
            <w:vAlign w:val="center"/>
          </w:tcPr>
          <w:p w14:paraId="54F4A4FE" w14:textId="77777777" w:rsidR="00393120" w:rsidRPr="00873F20" w:rsidRDefault="00393120" w:rsidP="00CD5281">
            <w:pPr>
              <w:jc w:val="center"/>
              <w:rPr>
                <w:sz w:val="20"/>
                <w:szCs w:val="20"/>
              </w:rPr>
            </w:pPr>
            <w:r w:rsidRPr="00873F20">
              <w:rPr>
                <w:sz w:val="20"/>
                <w:szCs w:val="20"/>
              </w:rPr>
              <w:t>1,35</w:t>
            </w:r>
          </w:p>
        </w:tc>
        <w:tc>
          <w:tcPr>
            <w:tcW w:w="0" w:type="auto"/>
            <w:shd w:val="clear" w:color="auto" w:fill="auto"/>
            <w:vAlign w:val="center"/>
          </w:tcPr>
          <w:p w14:paraId="486A7A84" w14:textId="77777777" w:rsidR="00393120" w:rsidRPr="00873F20" w:rsidRDefault="00393120" w:rsidP="00CD5281">
            <w:pPr>
              <w:jc w:val="center"/>
              <w:rPr>
                <w:sz w:val="20"/>
                <w:szCs w:val="20"/>
              </w:rPr>
            </w:pPr>
            <w:r w:rsidRPr="00873F20">
              <w:rPr>
                <w:sz w:val="20"/>
                <w:szCs w:val="20"/>
              </w:rPr>
              <w:t>+6,21</w:t>
            </w:r>
          </w:p>
        </w:tc>
        <w:tc>
          <w:tcPr>
            <w:tcW w:w="0" w:type="auto"/>
            <w:shd w:val="clear" w:color="auto" w:fill="auto"/>
            <w:vAlign w:val="center"/>
          </w:tcPr>
          <w:p w14:paraId="37EAF66A" w14:textId="77777777" w:rsidR="00393120" w:rsidRPr="00873F20" w:rsidRDefault="00393120" w:rsidP="00CD5281">
            <w:pPr>
              <w:jc w:val="center"/>
              <w:rPr>
                <w:sz w:val="20"/>
                <w:szCs w:val="20"/>
              </w:rPr>
            </w:pPr>
            <w:r w:rsidRPr="00873F20">
              <w:rPr>
                <w:sz w:val="20"/>
                <w:szCs w:val="20"/>
              </w:rPr>
              <w:t>12,55</w:t>
            </w:r>
          </w:p>
        </w:tc>
      </w:tr>
      <w:tr w:rsidR="00393120" w:rsidRPr="00873F20" w14:paraId="48270C7A" w14:textId="77777777" w:rsidTr="00CD5281">
        <w:trPr>
          <w:trHeight w:hRule="exact" w:val="284"/>
        </w:trPr>
        <w:tc>
          <w:tcPr>
            <w:tcW w:w="1844" w:type="dxa"/>
            <w:shd w:val="clear" w:color="auto" w:fill="auto"/>
            <w:vAlign w:val="center"/>
          </w:tcPr>
          <w:p w14:paraId="22605070" w14:textId="77777777" w:rsidR="00393120" w:rsidRPr="00873F20" w:rsidRDefault="00393120" w:rsidP="00CD5281">
            <w:pPr>
              <w:jc w:val="center"/>
              <w:rPr>
                <w:b/>
                <w:sz w:val="20"/>
                <w:szCs w:val="20"/>
              </w:rPr>
            </w:pPr>
            <w:r w:rsidRPr="00873F20">
              <w:rPr>
                <w:b/>
                <w:sz w:val="20"/>
                <w:szCs w:val="20"/>
              </w:rPr>
              <w:t>Croatie</w:t>
            </w:r>
          </w:p>
        </w:tc>
        <w:tc>
          <w:tcPr>
            <w:tcW w:w="2753" w:type="dxa"/>
            <w:shd w:val="clear" w:color="auto" w:fill="auto"/>
            <w:vAlign w:val="center"/>
          </w:tcPr>
          <w:p w14:paraId="63FA8DA9" w14:textId="77777777" w:rsidR="00393120" w:rsidRPr="00873F20" w:rsidRDefault="00393120" w:rsidP="00CD5281">
            <w:pPr>
              <w:jc w:val="center"/>
              <w:rPr>
                <w:sz w:val="20"/>
                <w:szCs w:val="20"/>
              </w:rPr>
            </w:pPr>
            <w:r w:rsidRPr="00873F20">
              <w:rPr>
                <w:sz w:val="20"/>
                <w:szCs w:val="20"/>
              </w:rPr>
              <w:t>1,23</w:t>
            </w:r>
          </w:p>
        </w:tc>
        <w:tc>
          <w:tcPr>
            <w:tcW w:w="0" w:type="auto"/>
            <w:shd w:val="clear" w:color="auto" w:fill="auto"/>
            <w:vAlign w:val="center"/>
          </w:tcPr>
          <w:p w14:paraId="1E197658" w14:textId="77777777" w:rsidR="00393120" w:rsidRPr="00873F20" w:rsidRDefault="00393120" w:rsidP="00CD5281">
            <w:pPr>
              <w:jc w:val="center"/>
              <w:rPr>
                <w:sz w:val="20"/>
                <w:szCs w:val="20"/>
              </w:rPr>
            </w:pPr>
            <w:r w:rsidRPr="00873F20">
              <w:rPr>
                <w:sz w:val="20"/>
                <w:szCs w:val="20"/>
              </w:rPr>
              <w:t>-8,80</w:t>
            </w:r>
          </w:p>
        </w:tc>
        <w:tc>
          <w:tcPr>
            <w:tcW w:w="0" w:type="auto"/>
            <w:shd w:val="clear" w:color="auto" w:fill="auto"/>
            <w:vAlign w:val="center"/>
          </w:tcPr>
          <w:p w14:paraId="51DDE1AA" w14:textId="77777777" w:rsidR="00393120" w:rsidRPr="00873F20" w:rsidRDefault="00393120" w:rsidP="00CD5281">
            <w:pPr>
              <w:jc w:val="center"/>
              <w:rPr>
                <w:sz w:val="20"/>
                <w:szCs w:val="20"/>
              </w:rPr>
            </w:pPr>
            <w:r w:rsidRPr="00873F20">
              <w:rPr>
                <w:sz w:val="20"/>
                <w:szCs w:val="20"/>
              </w:rPr>
              <w:t>8,27</w:t>
            </w:r>
          </w:p>
        </w:tc>
      </w:tr>
      <w:tr w:rsidR="00393120" w:rsidRPr="00873F20" w14:paraId="6CBC65CC" w14:textId="77777777" w:rsidTr="00CD5281">
        <w:trPr>
          <w:trHeight w:hRule="exact" w:val="466"/>
        </w:trPr>
        <w:tc>
          <w:tcPr>
            <w:tcW w:w="1844" w:type="dxa"/>
            <w:shd w:val="clear" w:color="auto" w:fill="auto"/>
            <w:vAlign w:val="center"/>
          </w:tcPr>
          <w:p w14:paraId="1D16765F" w14:textId="77777777" w:rsidR="00393120" w:rsidRPr="00873F20" w:rsidRDefault="00393120" w:rsidP="00CD5281">
            <w:pPr>
              <w:jc w:val="center"/>
              <w:rPr>
                <w:b/>
                <w:sz w:val="20"/>
                <w:szCs w:val="20"/>
              </w:rPr>
            </w:pPr>
            <w:r w:rsidRPr="00873F20">
              <w:rPr>
                <w:b/>
                <w:sz w:val="20"/>
                <w:szCs w:val="20"/>
              </w:rPr>
              <w:t>République tchèque</w:t>
            </w:r>
          </w:p>
        </w:tc>
        <w:tc>
          <w:tcPr>
            <w:tcW w:w="2753" w:type="dxa"/>
            <w:shd w:val="clear" w:color="auto" w:fill="auto"/>
            <w:vAlign w:val="center"/>
          </w:tcPr>
          <w:p w14:paraId="01C7CA05" w14:textId="77777777" w:rsidR="00393120" w:rsidRPr="00873F20" w:rsidRDefault="00393120" w:rsidP="00CD5281">
            <w:pPr>
              <w:jc w:val="center"/>
              <w:rPr>
                <w:sz w:val="20"/>
                <w:szCs w:val="20"/>
              </w:rPr>
            </w:pPr>
            <w:r w:rsidRPr="00873F20">
              <w:rPr>
                <w:sz w:val="20"/>
                <w:szCs w:val="20"/>
              </w:rPr>
              <w:t>1,04</w:t>
            </w:r>
          </w:p>
        </w:tc>
        <w:tc>
          <w:tcPr>
            <w:tcW w:w="0" w:type="auto"/>
            <w:shd w:val="clear" w:color="auto" w:fill="auto"/>
            <w:vAlign w:val="center"/>
          </w:tcPr>
          <w:p w14:paraId="689DDB6F" w14:textId="77777777" w:rsidR="00393120" w:rsidRPr="00873F20" w:rsidRDefault="00393120" w:rsidP="00CD5281">
            <w:pPr>
              <w:jc w:val="center"/>
              <w:rPr>
                <w:sz w:val="20"/>
                <w:szCs w:val="20"/>
              </w:rPr>
            </w:pPr>
            <w:r w:rsidRPr="00873F20">
              <w:rPr>
                <w:sz w:val="20"/>
                <w:szCs w:val="20"/>
              </w:rPr>
              <w:t>+0,29</w:t>
            </w:r>
          </w:p>
        </w:tc>
        <w:tc>
          <w:tcPr>
            <w:tcW w:w="0" w:type="auto"/>
            <w:shd w:val="clear" w:color="auto" w:fill="auto"/>
            <w:vAlign w:val="center"/>
          </w:tcPr>
          <w:p w14:paraId="0AF82552" w14:textId="77777777" w:rsidR="00393120" w:rsidRPr="00873F20" w:rsidRDefault="00393120" w:rsidP="00CD5281">
            <w:pPr>
              <w:jc w:val="center"/>
              <w:rPr>
                <w:sz w:val="20"/>
                <w:szCs w:val="20"/>
              </w:rPr>
            </w:pPr>
            <w:r w:rsidRPr="00873F20">
              <w:rPr>
                <w:sz w:val="20"/>
                <w:szCs w:val="20"/>
              </w:rPr>
              <w:t>7,23</w:t>
            </w:r>
          </w:p>
        </w:tc>
      </w:tr>
      <w:tr w:rsidR="00393120" w:rsidRPr="00873F20" w14:paraId="2D28C1BC" w14:textId="77777777" w:rsidTr="00CD5281">
        <w:trPr>
          <w:trHeight w:hRule="exact" w:val="284"/>
        </w:trPr>
        <w:tc>
          <w:tcPr>
            <w:tcW w:w="1844" w:type="dxa"/>
            <w:shd w:val="clear" w:color="auto" w:fill="auto"/>
            <w:vAlign w:val="center"/>
          </w:tcPr>
          <w:p w14:paraId="129A26FE" w14:textId="77777777" w:rsidR="00393120" w:rsidRPr="00873F20" w:rsidRDefault="00393120" w:rsidP="00CD5281">
            <w:pPr>
              <w:jc w:val="center"/>
              <w:rPr>
                <w:b/>
                <w:sz w:val="20"/>
                <w:szCs w:val="20"/>
              </w:rPr>
            </w:pPr>
            <w:r w:rsidRPr="00873F20">
              <w:rPr>
                <w:b/>
                <w:sz w:val="20"/>
                <w:szCs w:val="20"/>
              </w:rPr>
              <w:t>Danemark</w:t>
            </w:r>
          </w:p>
        </w:tc>
        <w:tc>
          <w:tcPr>
            <w:tcW w:w="2753" w:type="dxa"/>
            <w:shd w:val="clear" w:color="auto" w:fill="auto"/>
            <w:vAlign w:val="center"/>
          </w:tcPr>
          <w:p w14:paraId="3ED696B2" w14:textId="77777777" w:rsidR="00393120" w:rsidRPr="00873F20" w:rsidRDefault="00393120" w:rsidP="00CD5281">
            <w:pPr>
              <w:jc w:val="center"/>
              <w:rPr>
                <w:sz w:val="20"/>
                <w:szCs w:val="20"/>
              </w:rPr>
            </w:pPr>
            <w:r w:rsidRPr="00873F20">
              <w:rPr>
                <w:sz w:val="20"/>
                <w:szCs w:val="20"/>
              </w:rPr>
              <w:t>1,17</w:t>
            </w:r>
          </w:p>
        </w:tc>
        <w:tc>
          <w:tcPr>
            <w:tcW w:w="0" w:type="auto"/>
            <w:shd w:val="clear" w:color="auto" w:fill="auto"/>
            <w:vAlign w:val="center"/>
          </w:tcPr>
          <w:p w14:paraId="495FFBE3" w14:textId="77777777" w:rsidR="00393120" w:rsidRPr="00873F20" w:rsidRDefault="00393120" w:rsidP="00CD5281">
            <w:pPr>
              <w:jc w:val="center"/>
              <w:rPr>
                <w:sz w:val="20"/>
                <w:szCs w:val="20"/>
              </w:rPr>
            </w:pPr>
            <w:r w:rsidRPr="00873F20">
              <w:rPr>
                <w:sz w:val="20"/>
                <w:szCs w:val="20"/>
              </w:rPr>
              <w:t>+4,32</w:t>
            </w:r>
          </w:p>
        </w:tc>
        <w:tc>
          <w:tcPr>
            <w:tcW w:w="0" w:type="auto"/>
            <w:shd w:val="clear" w:color="auto" w:fill="auto"/>
            <w:vAlign w:val="center"/>
          </w:tcPr>
          <w:p w14:paraId="024F0969" w14:textId="77777777" w:rsidR="00393120" w:rsidRPr="00873F20" w:rsidRDefault="00393120" w:rsidP="00CD5281">
            <w:pPr>
              <w:jc w:val="center"/>
              <w:rPr>
                <w:sz w:val="20"/>
                <w:szCs w:val="20"/>
              </w:rPr>
            </w:pPr>
            <w:r w:rsidRPr="00873F20">
              <w:rPr>
                <w:sz w:val="20"/>
                <w:szCs w:val="20"/>
              </w:rPr>
              <w:t>12,41</w:t>
            </w:r>
          </w:p>
        </w:tc>
      </w:tr>
      <w:tr w:rsidR="00393120" w:rsidRPr="00873F20" w14:paraId="262DDB15" w14:textId="77777777" w:rsidTr="00CD5281">
        <w:trPr>
          <w:trHeight w:hRule="exact" w:val="284"/>
        </w:trPr>
        <w:tc>
          <w:tcPr>
            <w:tcW w:w="1844" w:type="dxa"/>
            <w:shd w:val="clear" w:color="auto" w:fill="auto"/>
            <w:vAlign w:val="center"/>
          </w:tcPr>
          <w:p w14:paraId="0F9D12CF" w14:textId="77777777" w:rsidR="00393120" w:rsidRPr="00873F20" w:rsidRDefault="00393120" w:rsidP="00CD5281">
            <w:pPr>
              <w:jc w:val="center"/>
              <w:rPr>
                <w:b/>
                <w:sz w:val="20"/>
                <w:szCs w:val="20"/>
              </w:rPr>
            </w:pPr>
            <w:r w:rsidRPr="00873F20">
              <w:rPr>
                <w:b/>
                <w:sz w:val="20"/>
                <w:szCs w:val="20"/>
              </w:rPr>
              <w:t>Estonie</w:t>
            </w:r>
          </w:p>
        </w:tc>
        <w:tc>
          <w:tcPr>
            <w:tcW w:w="2753" w:type="dxa"/>
            <w:shd w:val="clear" w:color="auto" w:fill="auto"/>
            <w:vAlign w:val="center"/>
          </w:tcPr>
          <w:p w14:paraId="17E73A96" w14:textId="77777777" w:rsidR="00393120" w:rsidRPr="00873F20" w:rsidRDefault="00393120" w:rsidP="00CD5281">
            <w:pPr>
              <w:jc w:val="center"/>
              <w:rPr>
                <w:b/>
                <w:sz w:val="20"/>
                <w:szCs w:val="20"/>
              </w:rPr>
            </w:pPr>
            <w:r w:rsidRPr="00873F20">
              <w:rPr>
                <w:b/>
                <w:sz w:val="20"/>
                <w:szCs w:val="20"/>
              </w:rPr>
              <w:t>2,16</w:t>
            </w:r>
          </w:p>
        </w:tc>
        <w:tc>
          <w:tcPr>
            <w:tcW w:w="0" w:type="auto"/>
            <w:shd w:val="clear" w:color="auto" w:fill="auto"/>
            <w:vAlign w:val="center"/>
          </w:tcPr>
          <w:p w14:paraId="1CBF467D" w14:textId="77777777" w:rsidR="00393120" w:rsidRPr="00873F20" w:rsidRDefault="00393120" w:rsidP="00CD5281">
            <w:pPr>
              <w:jc w:val="center"/>
              <w:rPr>
                <w:sz w:val="20"/>
                <w:szCs w:val="20"/>
              </w:rPr>
            </w:pPr>
            <w:r w:rsidRPr="00873F20">
              <w:rPr>
                <w:sz w:val="20"/>
                <w:szCs w:val="20"/>
              </w:rPr>
              <w:t>+6,50</w:t>
            </w:r>
          </w:p>
        </w:tc>
        <w:tc>
          <w:tcPr>
            <w:tcW w:w="0" w:type="auto"/>
            <w:shd w:val="clear" w:color="auto" w:fill="auto"/>
            <w:vAlign w:val="center"/>
          </w:tcPr>
          <w:p w14:paraId="70FFF383" w14:textId="77777777" w:rsidR="00393120" w:rsidRPr="00873F20" w:rsidRDefault="00393120" w:rsidP="00CD5281">
            <w:pPr>
              <w:jc w:val="center"/>
              <w:rPr>
                <w:sz w:val="20"/>
                <w:szCs w:val="20"/>
              </w:rPr>
            </w:pPr>
            <w:r w:rsidRPr="00873F20">
              <w:rPr>
                <w:sz w:val="20"/>
                <w:szCs w:val="20"/>
              </w:rPr>
              <w:t>13,50</w:t>
            </w:r>
          </w:p>
        </w:tc>
      </w:tr>
      <w:tr w:rsidR="00393120" w:rsidRPr="00873F20" w14:paraId="70B1B90F" w14:textId="77777777" w:rsidTr="00CD5281">
        <w:trPr>
          <w:trHeight w:hRule="exact" w:val="284"/>
        </w:trPr>
        <w:tc>
          <w:tcPr>
            <w:tcW w:w="1844" w:type="dxa"/>
            <w:shd w:val="clear" w:color="auto" w:fill="auto"/>
            <w:vAlign w:val="center"/>
          </w:tcPr>
          <w:p w14:paraId="483A7D16" w14:textId="77777777" w:rsidR="00393120" w:rsidRPr="00873F20" w:rsidRDefault="00393120" w:rsidP="00CD5281">
            <w:pPr>
              <w:jc w:val="center"/>
              <w:rPr>
                <w:b/>
                <w:sz w:val="20"/>
                <w:szCs w:val="20"/>
              </w:rPr>
            </w:pPr>
            <w:r w:rsidRPr="00873F20">
              <w:rPr>
                <w:b/>
                <w:sz w:val="20"/>
                <w:szCs w:val="20"/>
              </w:rPr>
              <w:t>France</w:t>
            </w:r>
          </w:p>
        </w:tc>
        <w:tc>
          <w:tcPr>
            <w:tcW w:w="2753" w:type="dxa"/>
            <w:shd w:val="clear" w:color="auto" w:fill="auto"/>
            <w:vAlign w:val="center"/>
          </w:tcPr>
          <w:p w14:paraId="06DD8146" w14:textId="77777777" w:rsidR="00393120" w:rsidRPr="00873F20" w:rsidRDefault="00393120" w:rsidP="00CD5281">
            <w:pPr>
              <w:jc w:val="center"/>
              <w:rPr>
                <w:sz w:val="20"/>
                <w:szCs w:val="20"/>
              </w:rPr>
            </w:pPr>
            <w:r w:rsidRPr="00873F20">
              <w:rPr>
                <w:sz w:val="20"/>
                <w:szCs w:val="20"/>
              </w:rPr>
              <w:t>1,78</w:t>
            </w:r>
          </w:p>
        </w:tc>
        <w:tc>
          <w:tcPr>
            <w:tcW w:w="0" w:type="auto"/>
            <w:shd w:val="clear" w:color="auto" w:fill="auto"/>
            <w:vAlign w:val="center"/>
          </w:tcPr>
          <w:p w14:paraId="7AB50A75" w14:textId="77777777" w:rsidR="00393120" w:rsidRPr="00873F20" w:rsidRDefault="00393120" w:rsidP="00CD5281">
            <w:pPr>
              <w:jc w:val="center"/>
              <w:rPr>
                <w:sz w:val="20"/>
                <w:szCs w:val="20"/>
              </w:rPr>
            </w:pPr>
            <w:r w:rsidRPr="00873F20">
              <w:rPr>
                <w:sz w:val="20"/>
                <w:szCs w:val="20"/>
              </w:rPr>
              <w:t>+0,64</w:t>
            </w:r>
          </w:p>
        </w:tc>
        <w:tc>
          <w:tcPr>
            <w:tcW w:w="0" w:type="auto"/>
            <w:shd w:val="clear" w:color="auto" w:fill="auto"/>
            <w:vAlign w:val="center"/>
          </w:tcPr>
          <w:p w14:paraId="0E5F14E8" w14:textId="77777777" w:rsidR="00393120" w:rsidRPr="00873F20" w:rsidRDefault="00393120" w:rsidP="00CD5281">
            <w:pPr>
              <w:jc w:val="center"/>
              <w:rPr>
                <w:b/>
                <w:sz w:val="20"/>
                <w:szCs w:val="20"/>
              </w:rPr>
            </w:pPr>
            <w:r w:rsidRPr="00873F20">
              <w:rPr>
                <w:b/>
                <w:sz w:val="20"/>
                <w:szCs w:val="20"/>
              </w:rPr>
              <w:t>24,51</w:t>
            </w:r>
          </w:p>
        </w:tc>
      </w:tr>
      <w:tr w:rsidR="00393120" w:rsidRPr="00873F20" w14:paraId="5E22E145" w14:textId="77777777" w:rsidTr="00CD5281">
        <w:trPr>
          <w:trHeight w:hRule="exact" w:val="284"/>
        </w:trPr>
        <w:tc>
          <w:tcPr>
            <w:tcW w:w="1844" w:type="dxa"/>
            <w:shd w:val="clear" w:color="auto" w:fill="auto"/>
            <w:vAlign w:val="center"/>
          </w:tcPr>
          <w:p w14:paraId="6D1557CD" w14:textId="77777777" w:rsidR="00393120" w:rsidRPr="00873F20" w:rsidRDefault="00393120" w:rsidP="00CD5281">
            <w:pPr>
              <w:jc w:val="center"/>
              <w:rPr>
                <w:b/>
                <w:sz w:val="20"/>
                <w:szCs w:val="20"/>
              </w:rPr>
            </w:pPr>
            <w:r w:rsidRPr="00873F20">
              <w:rPr>
                <w:b/>
                <w:sz w:val="20"/>
                <w:szCs w:val="20"/>
              </w:rPr>
              <w:t>Allemagne</w:t>
            </w:r>
          </w:p>
        </w:tc>
        <w:tc>
          <w:tcPr>
            <w:tcW w:w="2753" w:type="dxa"/>
            <w:shd w:val="clear" w:color="auto" w:fill="auto"/>
            <w:vAlign w:val="center"/>
          </w:tcPr>
          <w:p w14:paraId="66D64E47" w14:textId="77777777" w:rsidR="00393120" w:rsidRPr="00873F20" w:rsidRDefault="00393120" w:rsidP="00CD5281">
            <w:pPr>
              <w:jc w:val="center"/>
              <w:rPr>
                <w:sz w:val="20"/>
                <w:szCs w:val="20"/>
              </w:rPr>
            </w:pPr>
            <w:r w:rsidRPr="00873F20">
              <w:rPr>
                <w:sz w:val="20"/>
                <w:szCs w:val="20"/>
              </w:rPr>
              <w:t>1,19</w:t>
            </w:r>
          </w:p>
        </w:tc>
        <w:tc>
          <w:tcPr>
            <w:tcW w:w="0" w:type="auto"/>
            <w:shd w:val="clear" w:color="auto" w:fill="auto"/>
            <w:vAlign w:val="center"/>
          </w:tcPr>
          <w:p w14:paraId="4685EEE8" w14:textId="77777777" w:rsidR="00393120" w:rsidRPr="00873F20" w:rsidRDefault="00393120" w:rsidP="00CD5281">
            <w:pPr>
              <w:jc w:val="center"/>
              <w:rPr>
                <w:sz w:val="20"/>
                <w:szCs w:val="20"/>
              </w:rPr>
            </w:pPr>
            <w:r w:rsidRPr="00873F20">
              <w:rPr>
                <w:sz w:val="20"/>
                <w:szCs w:val="20"/>
              </w:rPr>
              <w:t>+2,08</w:t>
            </w:r>
          </w:p>
        </w:tc>
        <w:tc>
          <w:tcPr>
            <w:tcW w:w="0" w:type="auto"/>
            <w:shd w:val="clear" w:color="auto" w:fill="auto"/>
            <w:vAlign w:val="center"/>
          </w:tcPr>
          <w:p w14:paraId="1B2B1074" w14:textId="77777777" w:rsidR="00393120" w:rsidRPr="00873F20" w:rsidRDefault="00393120" w:rsidP="00CD5281">
            <w:pPr>
              <w:jc w:val="center"/>
              <w:rPr>
                <w:sz w:val="20"/>
                <w:szCs w:val="20"/>
              </w:rPr>
            </w:pPr>
            <w:r w:rsidRPr="00873F20">
              <w:rPr>
                <w:sz w:val="20"/>
                <w:szCs w:val="20"/>
              </w:rPr>
              <w:t>13,67</w:t>
            </w:r>
          </w:p>
        </w:tc>
      </w:tr>
      <w:tr w:rsidR="00393120" w:rsidRPr="00873F20" w14:paraId="5ACCB177" w14:textId="77777777" w:rsidTr="00CD5281">
        <w:trPr>
          <w:trHeight w:hRule="exact" w:val="284"/>
        </w:trPr>
        <w:tc>
          <w:tcPr>
            <w:tcW w:w="1844" w:type="dxa"/>
            <w:shd w:val="clear" w:color="auto" w:fill="auto"/>
            <w:vAlign w:val="center"/>
          </w:tcPr>
          <w:p w14:paraId="7B28F791" w14:textId="77777777" w:rsidR="00393120" w:rsidRPr="00873F20" w:rsidRDefault="00393120" w:rsidP="00CD5281">
            <w:pPr>
              <w:jc w:val="center"/>
              <w:rPr>
                <w:b/>
                <w:sz w:val="20"/>
                <w:szCs w:val="20"/>
              </w:rPr>
            </w:pPr>
            <w:r w:rsidRPr="00873F20">
              <w:rPr>
                <w:b/>
                <w:sz w:val="20"/>
                <w:szCs w:val="20"/>
              </w:rPr>
              <w:t>Grèce</w:t>
            </w:r>
          </w:p>
        </w:tc>
        <w:tc>
          <w:tcPr>
            <w:tcW w:w="2753" w:type="dxa"/>
            <w:shd w:val="clear" w:color="auto" w:fill="auto"/>
            <w:vAlign w:val="center"/>
          </w:tcPr>
          <w:p w14:paraId="6DAE7E45" w14:textId="77777777" w:rsidR="00393120" w:rsidRPr="00873F20" w:rsidRDefault="00393120" w:rsidP="00CD5281">
            <w:pPr>
              <w:jc w:val="center"/>
              <w:rPr>
                <w:b/>
                <w:sz w:val="20"/>
                <w:szCs w:val="20"/>
              </w:rPr>
            </w:pPr>
            <w:r w:rsidRPr="00873F20">
              <w:rPr>
                <w:b/>
                <w:sz w:val="20"/>
                <w:szCs w:val="20"/>
              </w:rPr>
              <w:t>2,38</w:t>
            </w:r>
          </w:p>
        </w:tc>
        <w:tc>
          <w:tcPr>
            <w:tcW w:w="0" w:type="auto"/>
            <w:shd w:val="clear" w:color="auto" w:fill="auto"/>
            <w:vAlign w:val="center"/>
          </w:tcPr>
          <w:p w14:paraId="5A2EFC00" w14:textId="77777777" w:rsidR="00393120" w:rsidRPr="00873F20" w:rsidRDefault="00393120" w:rsidP="00CD5281">
            <w:pPr>
              <w:jc w:val="center"/>
              <w:rPr>
                <w:sz w:val="20"/>
                <w:szCs w:val="20"/>
              </w:rPr>
            </w:pPr>
            <w:r w:rsidRPr="00873F20">
              <w:rPr>
                <w:sz w:val="20"/>
                <w:szCs w:val="20"/>
              </w:rPr>
              <w:t>-0,07</w:t>
            </w:r>
          </w:p>
        </w:tc>
        <w:tc>
          <w:tcPr>
            <w:tcW w:w="0" w:type="auto"/>
            <w:shd w:val="clear" w:color="auto" w:fill="auto"/>
            <w:vAlign w:val="center"/>
          </w:tcPr>
          <w:p w14:paraId="57866B3C" w14:textId="77777777" w:rsidR="00393120" w:rsidRPr="00873F20" w:rsidRDefault="00393120" w:rsidP="00CD5281">
            <w:pPr>
              <w:jc w:val="center"/>
              <w:rPr>
                <w:sz w:val="20"/>
                <w:szCs w:val="20"/>
              </w:rPr>
            </w:pPr>
            <w:r w:rsidRPr="00873F20">
              <w:rPr>
                <w:sz w:val="20"/>
                <w:szCs w:val="20"/>
              </w:rPr>
              <w:t>14,91</w:t>
            </w:r>
          </w:p>
        </w:tc>
      </w:tr>
      <w:tr w:rsidR="00393120" w:rsidRPr="00873F20" w14:paraId="453D953C" w14:textId="77777777" w:rsidTr="00CD5281">
        <w:trPr>
          <w:trHeight w:hRule="exact" w:val="284"/>
        </w:trPr>
        <w:tc>
          <w:tcPr>
            <w:tcW w:w="1844" w:type="dxa"/>
            <w:shd w:val="clear" w:color="auto" w:fill="auto"/>
            <w:vAlign w:val="center"/>
          </w:tcPr>
          <w:p w14:paraId="79C105CF" w14:textId="77777777" w:rsidR="00393120" w:rsidRPr="00873F20" w:rsidRDefault="00393120" w:rsidP="00CD5281">
            <w:pPr>
              <w:jc w:val="center"/>
              <w:rPr>
                <w:b/>
                <w:sz w:val="20"/>
                <w:szCs w:val="20"/>
              </w:rPr>
            </w:pPr>
            <w:r w:rsidRPr="00873F20">
              <w:rPr>
                <w:b/>
                <w:sz w:val="20"/>
                <w:szCs w:val="20"/>
              </w:rPr>
              <w:t>Hongrie</w:t>
            </w:r>
          </w:p>
        </w:tc>
        <w:tc>
          <w:tcPr>
            <w:tcW w:w="2753" w:type="dxa"/>
            <w:shd w:val="clear" w:color="auto" w:fill="auto"/>
            <w:vAlign w:val="center"/>
          </w:tcPr>
          <w:p w14:paraId="7D08BF65" w14:textId="77777777" w:rsidR="00393120" w:rsidRPr="00873F20" w:rsidRDefault="00393120" w:rsidP="00CD5281">
            <w:pPr>
              <w:jc w:val="center"/>
              <w:rPr>
                <w:sz w:val="20"/>
                <w:szCs w:val="20"/>
              </w:rPr>
            </w:pPr>
            <w:r w:rsidRPr="00873F20">
              <w:rPr>
                <w:sz w:val="20"/>
                <w:szCs w:val="20"/>
              </w:rPr>
              <w:t>1,01</w:t>
            </w:r>
          </w:p>
        </w:tc>
        <w:tc>
          <w:tcPr>
            <w:tcW w:w="0" w:type="auto"/>
            <w:shd w:val="clear" w:color="auto" w:fill="auto"/>
            <w:vAlign w:val="center"/>
          </w:tcPr>
          <w:p w14:paraId="53A386CB" w14:textId="77777777" w:rsidR="00393120" w:rsidRPr="00873F20" w:rsidRDefault="00393120" w:rsidP="00CD5281">
            <w:pPr>
              <w:jc w:val="center"/>
              <w:rPr>
                <w:sz w:val="20"/>
                <w:szCs w:val="20"/>
              </w:rPr>
            </w:pPr>
            <w:r w:rsidRPr="00873F20">
              <w:rPr>
                <w:sz w:val="20"/>
                <w:szCs w:val="20"/>
              </w:rPr>
              <w:t>+9,33</w:t>
            </w:r>
          </w:p>
        </w:tc>
        <w:tc>
          <w:tcPr>
            <w:tcW w:w="0" w:type="auto"/>
            <w:shd w:val="clear" w:color="auto" w:fill="auto"/>
            <w:vAlign w:val="center"/>
          </w:tcPr>
          <w:p w14:paraId="4376F263" w14:textId="77777777" w:rsidR="00393120" w:rsidRPr="00873F20" w:rsidRDefault="00393120" w:rsidP="00CD5281">
            <w:pPr>
              <w:jc w:val="center"/>
              <w:rPr>
                <w:sz w:val="20"/>
                <w:szCs w:val="20"/>
              </w:rPr>
            </w:pPr>
            <w:r w:rsidRPr="00873F20">
              <w:rPr>
                <w:sz w:val="20"/>
                <w:szCs w:val="20"/>
              </w:rPr>
              <w:t>13,00</w:t>
            </w:r>
          </w:p>
        </w:tc>
      </w:tr>
      <w:tr w:rsidR="00393120" w:rsidRPr="00873F20" w14:paraId="4BFCAF92" w14:textId="77777777" w:rsidTr="00CD5281">
        <w:trPr>
          <w:trHeight w:hRule="exact" w:val="284"/>
        </w:trPr>
        <w:tc>
          <w:tcPr>
            <w:tcW w:w="1844" w:type="dxa"/>
            <w:shd w:val="clear" w:color="auto" w:fill="auto"/>
            <w:vAlign w:val="center"/>
          </w:tcPr>
          <w:p w14:paraId="6692ED65" w14:textId="77777777" w:rsidR="00393120" w:rsidRPr="00873F20" w:rsidRDefault="00393120" w:rsidP="00CD5281">
            <w:pPr>
              <w:jc w:val="center"/>
              <w:rPr>
                <w:b/>
                <w:sz w:val="20"/>
                <w:szCs w:val="20"/>
              </w:rPr>
            </w:pPr>
            <w:r w:rsidRPr="00873F20">
              <w:rPr>
                <w:b/>
                <w:sz w:val="20"/>
                <w:szCs w:val="20"/>
              </w:rPr>
              <w:t>Italie</w:t>
            </w:r>
          </w:p>
        </w:tc>
        <w:tc>
          <w:tcPr>
            <w:tcW w:w="2753" w:type="dxa"/>
            <w:shd w:val="clear" w:color="auto" w:fill="auto"/>
            <w:vAlign w:val="center"/>
          </w:tcPr>
          <w:p w14:paraId="2DAA2A49" w14:textId="77777777" w:rsidR="00393120" w:rsidRPr="00873F20" w:rsidRDefault="00393120" w:rsidP="00CD5281">
            <w:pPr>
              <w:jc w:val="center"/>
              <w:rPr>
                <w:sz w:val="20"/>
                <w:szCs w:val="20"/>
              </w:rPr>
            </w:pPr>
            <w:r w:rsidRPr="00873F20">
              <w:rPr>
                <w:sz w:val="20"/>
                <w:szCs w:val="20"/>
              </w:rPr>
              <w:t>1,11</w:t>
            </w:r>
          </w:p>
        </w:tc>
        <w:tc>
          <w:tcPr>
            <w:tcW w:w="0" w:type="auto"/>
            <w:shd w:val="clear" w:color="auto" w:fill="auto"/>
            <w:vAlign w:val="center"/>
          </w:tcPr>
          <w:p w14:paraId="74251041" w14:textId="77777777" w:rsidR="00393120" w:rsidRPr="00873F20" w:rsidRDefault="00393120" w:rsidP="00CD5281">
            <w:pPr>
              <w:jc w:val="center"/>
              <w:rPr>
                <w:sz w:val="20"/>
                <w:szCs w:val="20"/>
              </w:rPr>
            </w:pPr>
            <w:r w:rsidRPr="00873F20">
              <w:rPr>
                <w:sz w:val="20"/>
                <w:szCs w:val="20"/>
              </w:rPr>
              <w:t>+10,63</w:t>
            </w:r>
          </w:p>
        </w:tc>
        <w:tc>
          <w:tcPr>
            <w:tcW w:w="0" w:type="auto"/>
            <w:shd w:val="clear" w:color="auto" w:fill="auto"/>
            <w:vAlign w:val="center"/>
          </w:tcPr>
          <w:p w14:paraId="4CED705E" w14:textId="77777777" w:rsidR="00393120" w:rsidRPr="00873F20" w:rsidRDefault="00393120" w:rsidP="00CD5281">
            <w:pPr>
              <w:jc w:val="center"/>
              <w:rPr>
                <w:b/>
                <w:sz w:val="20"/>
                <w:szCs w:val="20"/>
              </w:rPr>
            </w:pPr>
            <w:r w:rsidRPr="00873F20">
              <w:rPr>
                <w:b/>
                <w:sz w:val="20"/>
                <w:szCs w:val="20"/>
              </w:rPr>
              <w:t>20,24</w:t>
            </w:r>
          </w:p>
        </w:tc>
      </w:tr>
      <w:tr w:rsidR="00393120" w:rsidRPr="00873F20" w14:paraId="09C63AC5" w14:textId="77777777" w:rsidTr="00CD5281">
        <w:trPr>
          <w:trHeight w:hRule="exact" w:val="284"/>
        </w:trPr>
        <w:tc>
          <w:tcPr>
            <w:tcW w:w="1844" w:type="dxa"/>
            <w:shd w:val="clear" w:color="auto" w:fill="auto"/>
            <w:vAlign w:val="center"/>
          </w:tcPr>
          <w:p w14:paraId="37E863AF" w14:textId="77777777" w:rsidR="00393120" w:rsidRPr="00873F20" w:rsidRDefault="00393120" w:rsidP="00CD5281">
            <w:pPr>
              <w:jc w:val="center"/>
              <w:rPr>
                <w:b/>
                <w:sz w:val="20"/>
                <w:szCs w:val="20"/>
              </w:rPr>
            </w:pPr>
            <w:r w:rsidRPr="00873F20">
              <w:rPr>
                <w:b/>
                <w:sz w:val="20"/>
                <w:szCs w:val="20"/>
              </w:rPr>
              <w:t>Lettonie</w:t>
            </w:r>
          </w:p>
        </w:tc>
        <w:tc>
          <w:tcPr>
            <w:tcW w:w="2753" w:type="dxa"/>
            <w:shd w:val="clear" w:color="auto" w:fill="auto"/>
            <w:vAlign w:val="center"/>
          </w:tcPr>
          <w:p w14:paraId="6944FCC6" w14:textId="77777777" w:rsidR="00393120" w:rsidRPr="00873F20" w:rsidRDefault="00393120" w:rsidP="00CD5281">
            <w:pPr>
              <w:jc w:val="center"/>
              <w:rPr>
                <w:sz w:val="20"/>
                <w:szCs w:val="20"/>
              </w:rPr>
            </w:pPr>
            <w:r w:rsidRPr="00873F20">
              <w:rPr>
                <w:sz w:val="20"/>
                <w:szCs w:val="20"/>
              </w:rPr>
              <w:t>1,45</w:t>
            </w:r>
          </w:p>
        </w:tc>
        <w:tc>
          <w:tcPr>
            <w:tcW w:w="0" w:type="auto"/>
            <w:shd w:val="clear" w:color="auto" w:fill="auto"/>
            <w:vAlign w:val="center"/>
          </w:tcPr>
          <w:p w14:paraId="16A22DB8" w14:textId="77777777" w:rsidR="00393120" w:rsidRPr="00873F20" w:rsidRDefault="00393120" w:rsidP="00CD5281">
            <w:pPr>
              <w:jc w:val="center"/>
              <w:rPr>
                <w:sz w:val="20"/>
                <w:szCs w:val="20"/>
              </w:rPr>
            </w:pPr>
            <w:r w:rsidRPr="00873F20">
              <w:rPr>
                <w:sz w:val="20"/>
                <w:szCs w:val="20"/>
              </w:rPr>
              <w:t>+42,31</w:t>
            </w:r>
          </w:p>
        </w:tc>
        <w:tc>
          <w:tcPr>
            <w:tcW w:w="0" w:type="auto"/>
            <w:shd w:val="clear" w:color="auto" w:fill="auto"/>
            <w:vAlign w:val="center"/>
          </w:tcPr>
          <w:p w14:paraId="66C0B3FF" w14:textId="77777777" w:rsidR="00393120" w:rsidRPr="00873F20" w:rsidRDefault="00393120" w:rsidP="00CD5281">
            <w:pPr>
              <w:jc w:val="center"/>
              <w:rPr>
                <w:sz w:val="20"/>
                <w:szCs w:val="20"/>
              </w:rPr>
            </w:pPr>
            <w:r w:rsidRPr="00873F20">
              <w:rPr>
                <w:sz w:val="20"/>
                <w:szCs w:val="20"/>
              </w:rPr>
              <w:t>17,86</w:t>
            </w:r>
          </w:p>
        </w:tc>
      </w:tr>
      <w:tr w:rsidR="00393120" w:rsidRPr="00873F20" w14:paraId="060E620A" w14:textId="77777777" w:rsidTr="00CD5281">
        <w:trPr>
          <w:trHeight w:hRule="exact" w:val="284"/>
        </w:trPr>
        <w:tc>
          <w:tcPr>
            <w:tcW w:w="1844" w:type="dxa"/>
            <w:shd w:val="clear" w:color="auto" w:fill="auto"/>
            <w:vAlign w:val="center"/>
          </w:tcPr>
          <w:p w14:paraId="14C95815" w14:textId="77777777" w:rsidR="00393120" w:rsidRPr="00873F20" w:rsidRDefault="00393120" w:rsidP="00CD5281">
            <w:pPr>
              <w:jc w:val="center"/>
              <w:rPr>
                <w:b/>
                <w:sz w:val="20"/>
                <w:szCs w:val="20"/>
              </w:rPr>
            </w:pPr>
            <w:r w:rsidRPr="00873F20">
              <w:rPr>
                <w:b/>
                <w:sz w:val="20"/>
                <w:szCs w:val="20"/>
              </w:rPr>
              <w:t>Lituanie</w:t>
            </w:r>
          </w:p>
        </w:tc>
        <w:tc>
          <w:tcPr>
            <w:tcW w:w="2753" w:type="dxa"/>
            <w:shd w:val="clear" w:color="auto" w:fill="auto"/>
            <w:vAlign w:val="center"/>
          </w:tcPr>
          <w:p w14:paraId="0B44E02B" w14:textId="77777777" w:rsidR="00393120" w:rsidRPr="00873F20" w:rsidRDefault="00393120" w:rsidP="00CD5281">
            <w:pPr>
              <w:jc w:val="center"/>
              <w:rPr>
                <w:sz w:val="20"/>
                <w:szCs w:val="20"/>
              </w:rPr>
            </w:pPr>
            <w:r w:rsidRPr="00873F20">
              <w:rPr>
                <w:sz w:val="20"/>
                <w:szCs w:val="20"/>
              </w:rPr>
              <w:t>1,49</w:t>
            </w:r>
          </w:p>
        </w:tc>
        <w:tc>
          <w:tcPr>
            <w:tcW w:w="0" w:type="auto"/>
            <w:shd w:val="clear" w:color="auto" w:fill="auto"/>
            <w:vAlign w:val="center"/>
          </w:tcPr>
          <w:p w14:paraId="6C58907C" w14:textId="77777777" w:rsidR="00393120" w:rsidRPr="00873F20" w:rsidRDefault="00393120" w:rsidP="00CD5281">
            <w:pPr>
              <w:jc w:val="center"/>
              <w:rPr>
                <w:sz w:val="20"/>
                <w:szCs w:val="20"/>
              </w:rPr>
            </w:pPr>
            <w:r w:rsidRPr="00873F20">
              <w:rPr>
                <w:sz w:val="20"/>
                <w:szCs w:val="20"/>
              </w:rPr>
              <w:t>+34,13</w:t>
            </w:r>
          </w:p>
        </w:tc>
        <w:tc>
          <w:tcPr>
            <w:tcW w:w="0" w:type="auto"/>
            <w:shd w:val="clear" w:color="auto" w:fill="auto"/>
            <w:vAlign w:val="center"/>
          </w:tcPr>
          <w:p w14:paraId="1CABCE19" w14:textId="77777777" w:rsidR="00393120" w:rsidRPr="00873F20" w:rsidRDefault="00393120" w:rsidP="00CD5281">
            <w:pPr>
              <w:jc w:val="center"/>
              <w:rPr>
                <w:b/>
                <w:sz w:val="20"/>
                <w:szCs w:val="20"/>
              </w:rPr>
            </w:pPr>
            <w:r w:rsidRPr="00873F20">
              <w:rPr>
                <w:b/>
                <w:sz w:val="20"/>
                <w:szCs w:val="20"/>
              </w:rPr>
              <w:t>27,65</w:t>
            </w:r>
          </w:p>
        </w:tc>
      </w:tr>
      <w:tr w:rsidR="00393120" w:rsidRPr="00873F20" w14:paraId="2C276B7A" w14:textId="77777777" w:rsidTr="00CD5281">
        <w:trPr>
          <w:trHeight w:hRule="exact" w:val="284"/>
        </w:trPr>
        <w:tc>
          <w:tcPr>
            <w:tcW w:w="1844" w:type="dxa"/>
            <w:shd w:val="clear" w:color="auto" w:fill="auto"/>
            <w:vAlign w:val="center"/>
          </w:tcPr>
          <w:p w14:paraId="70D3BBA6" w14:textId="77777777" w:rsidR="00393120" w:rsidRPr="00873F20" w:rsidRDefault="00393120" w:rsidP="00CD5281">
            <w:pPr>
              <w:jc w:val="center"/>
              <w:rPr>
                <w:b/>
                <w:sz w:val="20"/>
                <w:szCs w:val="20"/>
              </w:rPr>
            </w:pPr>
            <w:r w:rsidRPr="00873F20">
              <w:rPr>
                <w:b/>
                <w:sz w:val="20"/>
                <w:szCs w:val="20"/>
              </w:rPr>
              <w:t>Luxembourg</w:t>
            </w:r>
          </w:p>
        </w:tc>
        <w:tc>
          <w:tcPr>
            <w:tcW w:w="2753" w:type="dxa"/>
            <w:shd w:val="clear" w:color="auto" w:fill="auto"/>
            <w:vAlign w:val="center"/>
          </w:tcPr>
          <w:p w14:paraId="05D2BAFB" w14:textId="77777777" w:rsidR="00393120" w:rsidRPr="00873F20" w:rsidRDefault="00393120" w:rsidP="00CD5281">
            <w:pPr>
              <w:jc w:val="center"/>
              <w:rPr>
                <w:sz w:val="20"/>
                <w:szCs w:val="20"/>
              </w:rPr>
            </w:pPr>
            <w:r w:rsidRPr="00873F20">
              <w:rPr>
                <w:sz w:val="20"/>
                <w:szCs w:val="20"/>
              </w:rPr>
              <w:t>0,44</w:t>
            </w:r>
          </w:p>
        </w:tc>
        <w:tc>
          <w:tcPr>
            <w:tcW w:w="0" w:type="auto"/>
            <w:shd w:val="clear" w:color="auto" w:fill="auto"/>
            <w:vAlign w:val="center"/>
          </w:tcPr>
          <w:p w14:paraId="005BE36A" w14:textId="77777777" w:rsidR="00393120" w:rsidRPr="00873F20" w:rsidRDefault="00393120" w:rsidP="00CD5281">
            <w:pPr>
              <w:jc w:val="center"/>
              <w:rPr>
                <w:sz w:val="20"/>
                <w:szCs w:val="20"/>
              </w:rPr>
            </w:pPr>
            <w:r w:rsidRPr="00873F20">
              <w:rPr>
                <w:sz w:val="20"/>
                <w:szCs w:val="20"/>
              </w:rPr>
              <w:t>+5,75</w:t>
            </w:r>
          </w:p>
        </w:tc>
        <w:tc>
          <w:tcPr>
            <w:tcW w:w="0" w:type="auto"/>
            <w:shd w:val="clear" w:color="auto" w:fill="auto"/>
            <w:vAlign w:val="center"/>
          </w:tcPr>
          <w:p w14:paraId="602FFDC5" w14:textId="77777777" w:rsidR="00393120" w:rsidRPr="00873F20" w:rsidRDefault="00393120" w:rsidP="00CD5281">
            <w:pPr>
              <w:jc w:val="center"/>
              <w:rPr>
                <w:b/>
                <w:sz w:val="20"/>
                <w:szCs w:val="20"/>
              </w:rPr>
            </w:pPr>
            <w:r w:rsidRPr="00873F20">
              <w:rPr>
                <w:b/>
                <w:sz w:val="20"/>
                <w:szCs w:val="20"/>
              </w:rPr>
              <w:t>32,82</w:t>
            </w:r>
          </w:p>
        </w:tc>
      </w:tr>
      <w:tr w:rsidR="00393120" w:rsidRPr="00873F20" w14:paraId="77709E3C" w14:textId="77777777" w:rsidTr="00CD5281">
        <w:trPr>
          <w:trHeight w:hRule="exact" w:val="284"/>
        </w:trPr>
        <w:tc>
          <w:tcPr>
            <w:tcW w:w="1844" w:type="dxa"/>
            <w:shd w:val="clear" w:color="auto" w:fill="auto"/>
            <w:vAlign w:val="center"/>
          </w:tcPr>
          <w:p w14:paraId="7F52E150" w14:textId="77777777" w:rsidR="00393120" w:rsidRPr="00873F20" w:rsidRDefault="00393120" w:rsidP="00CD5281">
            <w:pPr>
              <w:jc w:val="center"/>
              <w:rPr>
                <w:b/>
                <w:sz w:val="20"/>
                <w:szCs w:val="20"/>
              </w:rPr>
            </w:pPr>
            <w:r w:rsidRPr="00873F20">
              <w:rPr>
                <w:b/>
                <w:sz w:val="20"/>
                <w:szCs w:val="20"/>
              </w:rPr>
              <w:t>Pays-Bas</w:t>
            </w:r>
          </w:p>
        </w:tc>
        <w:tc>
          <w:tcPr>
            <w:tcW w:w="2753" w:type="dxa"/>
            <w:shd w:val="clear" w:color="auto" w:fill="auto"/>
            <w:vAlign w:val="center"/>
          </w:tcPr>
          <w:p w14:paraId="299AAA88" w14:textId="77777777" w:rsidR="00393120" w:rsidRPr="00873F20" w:rsidRDefault="00393120" w:rsidP="00CD5281">
            <w:pPr>
              <w:jc w:val="center"/>
              <w:rPr>
                <w:sz w:val="20"/>
                <w:szCs w:val="20"/>
              </w:rPr>
            </w:pPr>
            <w:r w:rsidRPr="00873F20">
              <w:rPr>
                <w:sz w:val="20"/>
                <w:szCs w:val="20"/>
              </w:rPr>
              <w:t>1,17</w:t>
            </w:r>
          </w:p>
        </w:tc>
        <w:tc>
          <w:tcPr>
            <w:tcW w:w="0" w:type="auto"/>
            <w:shd w:val="clear" w:color="auto" w:fill="auto"/>
            <w:vAlign w:val="center"/>
          </w:tcPr>
          <w:p w14:paraId="2D8CEF9C" w14:textId="77777777" w:rsidR="00393120" w:rsidRPr="00873F20" w:rsidRDefault="00393120" w:rsidP="00CD5281">
            <w:pPr>
              <w:jc w:val="center"/>
              <w:rPr>
                <w:sz w:val="20"/>
                <w:szCs w:val="20"/>
              </w:rPr>
            </w:pPr>
            <w:r w:rsidRPr="00873F20">
              <w:rPr>
                <w:sz w:val="20"/>
                <w:szCs w:val="20"/>
              </w:rPr>
              <w:t>+2,27</w:t>
            </w:r>
          </w:p>
        </w:tc>
        <w:tc>
          <w:tcPr>
            <w:tcW w:w="0" w:type="auto"/>
            <w:shd w:val="clear" w:color="auto" w:fill="auto"/>
            <w:vAlign w:val="center"/>
          </w:tcPr>
          <w:p w14:paraId="12D10319" w14:textId="77777777" w:rsidR="00393120" w:rsidRPr="00873F20" w:rsidRDefault="00393120" w:rsidP="00CD5281">
            <w:pPr>
              <w:jc w:val="center"/>
              <w:rPr>
                <w:sz w:val="20"/>
                <w:szCs w:val="20"/>
              </w:rPr>
            </w:pPr>
            <w:r w:rsidRPr="00873F20">
              <w:rPr>
                <w:sz w:val="20"/>
                <w:szCs w:val="20"/>
              </w:rPr>
              <w:t>14,43</w:t>
            </w:r>
          </w:p>
        </w:tc>
      </w:tr>
      <w:tr w:rsidR="00393120" w:rsidRPr="00873F20" w14:paraId="789B14F9" w14:textId="77777777" w:rsidTr="00CD5281">
        <w:trPr>
          <w:trHeight w:hRule="exact" w:val="284"/>
        </w:trPr>
        <w:tc>
          <w:tcPr>
            <w:tcW w:w="1844" w:type="dxa"/>
            <w:shd w:val="clear" w:color="auto" w:fill="auto"/>
            <w:vAlign w:val="center"/>
          </w:tcPr>
          <w:p w14:paraId="367360EE" w14:textId="77777777" w:rsidR="00393120" w:rsidRPr="00873F20" w:rsidRDefault="00393120" w:rsidP="00CD5281">
            <w:pPr>
              <w:jc w:val="center"/>
              <w:rPr>
                <w:b/>
                <w:sz w:val="20"/>
                <w:szCs w:val="20"/>
              </w:rPr>
            </w:pPr>
            <w:r w:rsidRPr="00873F20">
              <w:rPr>
                <w:b/>
                <w:sz w:val="20"/>
                <w:szCs w:val="20"/>
              </w:rPr>
              <w:t>Norvège</w:t>
            </w:r>
          </w:p>
        </w:tc>
        <w:tc>
          <w:tcPr>
            <w:tcW w:w="2753" w:type="dxa"/>
            <w:shd w:val="clear" w:color="auto" w:fill="auto"/>
            <w:vAlign w:val="center"/>
          </w:tcPr>
          <w:p w14:paraId="035A4B21" w14:textId="77777777" w:rsidR="00393120" w:rsidRPr="00873F20" w:rsidRDefault="00393120" w:rsidP="00CD5281">
            <w:pPr>
              <w:jc w:val="center"/>
              <w:rPr>
                <w:sz w:val="20"/>
                <w:szCs w:val="20"/>
              </w:rPr>
            </w:pPr>
            <w:r w:rsidRPr="00873F20">
              <w:rPr>
                <w:sz w:val="20"/>
                <w:szCs w:val="20"/>
              </w:rPr>
              <w:t>1,54</w:t>
            </w:r>
          </w:p>
        </w:tc>
        <w:tc>
          <w:tcPr>
            <w:tcW w:w="0" w:type="auto"/>
            <w:shd w:val="clear" w:color="auto" w:fill="auto"/>
            <w:vAlign w:val="center"/>
          </w:tcPr>
          <w:p w14:paraId="3A00DB19" w14:textId="77777777" w:rsidR="00393120" w:rsidRPr="00873F20" w:rsidRDefault="00393120" w:rsidP="00CD5281">
            <w:pPr>
              <w:jc w:val="center"/>
              <w:rPr>
                <w:sz w:val="20"/>
                <w:szCs w:val="20"/>
              </w:rPr>
            </w:pPr>
            <w:r w:rsidRPr="00873F20">
              <w:rPr>
                <w:sz w:val="20"/>
                <w:szCs w:val="20"/>
              </w:rPr>
              <w:t>+5,45</w:t>
            </w:r>
          </w:p>
        </w:tc>
        <w:tc>
          <w:tcPr>
            <w:tcW w:w="0" w:type="auto"/>
            <w:shd w:val="clear" w:color="auto" w:fill="auto"/>
            <w:vAlign w:val="center"/>
          </w:tcPr>
          <w:p w14:paraId="4DE22B11" w14:textId="77777777" w:rsidR="00393120" w:rsidRPr="00873F20" w:rsidRDefault="00393120" w:rsidP="00CD5281">
            <w:pPr>
              <w:jc w:val="center"/>
              <w:rPr>
                <w:b/>
                <w:sz w:val="20"/>
                <w:szCs w:val="20"/>
              </w:rPr>
            </w:pPr>
            <w:r w:rsidRPr="00873F20">
              <w:rPr>
                <w:b/>
                <w:sz w:val="20"/>
                <w:szCs w:val="20"/>
              </w:rPr>
              <w:t>25,60</w:t>
            </w:r>
          </w:p>
        </w:tc>
      </w:tr>
      <w:tr w:rsidR="00393120" w:rsidRPr="00873F20" w14:paraId="77EEEEDF" w14:textId="77777777" w:rsidTr="00CD5281">
        <w:trPr>
          <w:trHeight w:hRule="exact" w:val="284"/>
        </w:trPr>
        <w:tc>
          <w:tcPr>
            <w:tcW w:w="1844" w:type="dxa"/>
            <w:shd w:val="clear" w:color="auto" w:fill="auto"/>
            <w:vAlign w:val="center"/>
          </w:tcPr>
          <w:p w14:paraId="70808093" w14:textId="77777777" w:rsidR="00393120" w:rsidRPr="00873F20" w:rsidRDefault="00393120" w:rsidP="00CD5281">
            <w:pPr>
              <w:jc w:val="center"/>
              <w:rPr>
                <w:b/>
                <w:sz w:val="20"/>
                <w:szCs w:val="20"/>
              </w:rPr>
            </w:pPr>
            <w:r w:rsidRPr="00873F20">
              <w:rPr>
                <w:b/>
                <w:sz w:val="20"/>
                <w:szCs w:val="20"/>
              </w:rPr>
              <w:t>Pologne</w:t>
            </w:r>
          </w:p>
        </w:tc>
        <w:tc>
          <w:tcPr>
            <w:tcW w:w="2753" w:type="dxa"/>
            <w:shd w:val="clear" w:color="auto" w:fill="auto"/>
            <w:vAlign w:val="center"/>
          </w:tcPr>
          <w:p w14:paraId="0CD18BCE" w14:textId="77777777" w:rsidR="00393120" w:rsidRPr="00873F20" w:rsidRDefault="00393120" w:rsidP="00CD5281">
            <w:pPr>
              <w:jc w:val="center"/>
              <w:rPr>
                <w:b/>
                <w:sz w:val="20"/>
                <w:szCs w:val="20"/>
              </w:rPr>
            </w:pPr>
            <w:r w:rsidRPr="00873F20">
              <w:rPr>
                <w:b/>
                <w:sz w:val="20"/>
                <w:szCs w:val="20"/>
              </w:rPr>
              <w:t>2,00</w:t>
            </w:r>
          </w:p>
        </w:tc>
        <w:tc>
          <w:tcPr>
            <w:tcW w:w="0" w:type="auto"/>
            <w:shd w:val="clear" w:color="auto" w:fill="auto"/>
            <w:vAlign w:val="center"/>
          </w:tcPr>
          <w:p w14:paraId="5DED0FD0" w14:textId="77777777" w:rsidR="00393120" w:rsidRPr="00873F20" w:rsidRDefault="00393120" w:rsidP="00CD5281">
            <w:pPr>
              <w:jc w:val="center"/>
              <w:rPr>
                <w:sz w:val="20"/>
                <w:szCs w:val="20"/>
              </w:rPr>
            </w:pPr>
            <w:r w:rsidRPr="00873F20">
              <w:rPr>
                <w:sz w:val="20"/>
                <w:szCs w:val="20"/>
              </w:rPr>
              <w:t>-7,80</w:t>
            </w:r>
          </w:p>
        </w:tc>
        <w:tc>
          <w:tcPr>
            <w:tcW w:w="0" w:type="auto"/>
            <w:shd w:val="clear" w:color="auto" w:fill="auto"/>
            <w:vAlign w:val="center"/>
          </w:tcPr>
          <w:p w14:paraId="6A847E52" w14:textId="77777777" w:rsidR="00393120" w:rsidRPr="00873F20" w:rsidRDefault="00393120" w:rsidP="00CD5281">
            <w:pPr>
              <w:jc w:val="center"/>
              <w:rPr>
                <w:b/>
                <w:sz w:val="20"/>
                <w:szCs w:val="20"/>
              </w:rPr>
            </w:pPr>
            <w:r w:rsidRPr="00873F20">
              <w:rPr>
                <w:b/>
                <w:sz w:val="20"/>
                <w:szCs w:val="20"/>
              </w:rPr>
              <w:t>25,79</w:t>
            </w:r>
          </w:p>
        </w:tc>
      </w:tr>
      <w:tr w:rsidR="00393120" w:rsidRPr="00873F20" w14:paraId="5186863F" w14:textId="77777777" w:rsidTr="00CD5281">
        <w:trPr>
          <w:trHeight w:hRule="exact" w:val="284"/>
        </w:trPr>
        <w:tc>
          <w:tcPr>
            <w:tcW w:w="1844" w:type="dxa"/>
            <w:shd w:val="clear" w:color="auto" w:fill="auto"/>
            <w:vAlign w:val="center"/>
          </w:tcPr>
          <w:p w14:paraId="244ECE1C" w14:textId="77777777" w:rsidR="00393120" w:rsidRPr="00873F20" w:rsidRDefault="00393120" w:rsidP="00CD5281">
            <w:pPr>
              <w:jc w:val="center"/>
              <w:rPr>
                <w:b/>
                <w:sz w:val="20"/>
                <w:szCs w:val="20"/>
              </w:rPr>
            </w:pPr>
            <w:r w:rsidRPr="00873F20">
              <w:rPr>
                <w:b/>
                <w:sz w:val="20"/>
                <w:szCs w:val="20"/>
              </w:rPr>
              <w:t>Portugal</w:t>
            </w:r>
          </w:p>
        </w:tc>
        <w:tc>
          <w:tcPr>
            <w:tcW w:w="2753" w:type="dxa"/>
            <w:shd w:val="clear" w:color="auto" w:fill="auto"/>
            <w:vAlign w:val="center"/>
          </w:tcPr>
          <w:p w14:paraId="7E45CDA0" w14:textId="77777777" w:rsidR="00393120" w:rsidRPr="00873F20" w:rsidRDefault="00393120" w:rsidP="00CD5281">
            <w:pPr>
              <w:jc w:val="center"/>
              <w:rPr>
                <w:sz w:val="20"/>
                <w:szCs w:val="20"/>
              </w:rPr>
            </w:pPr>
            <w:r w:rsidRPr="00873F20">
              <w:rPr>
                <w:sz w:val="20"/>
                <w:szCs w:val="20"/>
              </w:rPr>
              <w:t>1,38</w:t>
            </w:r>
          </w:p>
        </w:tc>
        <w:tc>
          <w:tcPr>
            <w:tcW w:w="0" w:type="auto"/>
            <w:shd w:val="clear" w:color="auto" w:fill="auto"/>
            <w:vAlign w:val="center"/>
          </w:tcPr>
          <w:p w14:paraId="56EE81F0" w14:textId="77777777" w:rsidR="00393120" w:rsidRPr="00873F20" w:rsidRDefault="00393120" w:rsidP="00CD5281">
            <w:pPr>
              <w:jc w:val="center"/>
              <w:rPr>
                <w:sz w:val="20"/>
                <w:szCs w:val="20"/>
              </w:rPr>
            </w:pPr>
            <w:r w:rsidRPr="00873F20">
              <w:rPr>
                <w:sz w:val="20"/>
                <w:szCs w:val="20"/>
              </w:rPr>
              <w:t>+5,68</w:t>
            </w:r>
          </w:p>
        </w:tc>
        <w:tc>
          <w:tcPr>
            <w:tcW w:w="0" w:type="auto"/>
            <w:shd w:val="clear" w:color="auto" w:fill="auto"/>
            <w:vAlign w:val="center"/>
          </w:tcPr>
          <w:p w14:paraId="16FBB61F" w14:textId="77777777" w:rsidR="00393120" w:rsidRPr="00873F20" w:rsidRDefault="00393120" w:rsidP="00CD5281">
            <w:pPr>
              <w:jc w:val="center"/>
              <w:rPr>
                <w:sz w:val="20"/>
                <w:szCs w:val="20"/>
              </w:rPr>
            </w:pPr>
            <w:r w:rsidRPr="00873F20">
              <w:rPr>
                <w:sz w:val="20"/>
                <w:szCs w:val="20"/>
              </w:rPr>
              <w:t>9,43</w:t>
            </w:r>
          </w:p>
        </w:tc>
      </w:tr>
      <w:tr w:rsidR="00393120" w:rsidRPr="00873F20" w14:paraId="5230C79C" w14:textId="77777777" w:rsidTr="00CD5281">
        <w:trPr>
          <w:trHeight w:hRule="exact" w:val="284"/>
        </w:trPr>
        <w:tc>
          <w:tcPr>
            <w:tcW w:w="1844" w:type="dxa"/>
            <w:shd w:val="clear" w:color="auto" w:fill="auto"/>
            <w:vAlign w:val="center"/>
          </w:tcPr>
          <w:p w14:paraId="30D90790" w14:textId="77777777" w:rsidR="00393120" w:rsidRPr="00873F20" w:rsidRDefault="00393120" w:rsidP="00CD5281">
            <w:pPr>
              <w:jc w:val="center"/>
              <w:rPr>
                <w:b/>
                <w:sz w:val="20"/>
                <w:szCs w:val="20"/>
              </w:rPr>
            </w:pPr>
            <w:r w:rsidRPr="00873F20">
              <w:rPr>
                <w:b/>
                <w:sz w:val="20"/>
                <w:szCs w:val="20"/>
              </w:rPr>
              <w:t>Roumanie</w:t>
            </w:r>
          </w:p>
        </w:tc>
        <w:tc>
          <w:tcPr>
            <w:tcW w:w="2753" w:type="dxa"/>
            <w:shd w:val="clear" w:color="auto" w:fill="auto"/>
            <w:vAlign w:val="center"/>
          </w:tcPr>
          <w:p w14:paraId="1103EFA4" w14:textId="77777777" w:rsidR="00393120" w:rsidRPr="00873F20" w:rsidRDefault="00393120" w:rsidP="00CD5281">
            <w:pPr>
              <w:jc w:val="center"/>
              <w:rPr>
                <w:sz w:val="20"/>
                <w:szCs w:val="20"/>
              </w:rPr>
            </w:pPr>
            <w:r w:rsidRPr="00873F20">
              <w:rPr>
                <w:sz w:val="20"/>
                <w:szCs w:val="20"/>
              </w:rPr>
              <w:t>1,48</w:t>
            </w:r>
          </w:p>
        </w:tc>
        <w:tc>
          <w:tcPr>
            <w:tcW w:w="0" w:type="auto"/>
            <w:shd w:val="clear" w:color="auto" w:fill="auto"/>
            <w:vAlign w:val="center"/>
          </w:tcPr>
          <w:p w14:paraId="5F0D0F43" w14:textId="77777777" w:rsidR="00393120" w:rsidRPr="00873F20" w:rsidRDefault="00393120" w:rsidP="00CD5281">
            <w:pPr>
              <w:jc w:val="center"/>
              <w:rPr>
                <w:sz w:val="20"/>
                <w:szCs w:val="20"/>
              </w:rPr>
            </w:pPr>
            <w:r w:rsidRPr="00873F20">
              <w:rPr>
                <w:sz w:val="20"/>
                <w:szCs w:val="20"/>
              </w:rPr>
              <w:t>+6,47</w:t>
            </w:r>
          </w:p>
        </w:tc>
        <w:tc>
          <w:tcPr>
            <w:tcW w:w="0" w:type="auto"/>
            <w:shd w:val="clear" w:color="auto" w:fill="auto"/>
            <w:vAlign w:val="center"/>
          </w:tcPr>
          <w:p w14:paraId="130F6F62" w14:textId="77777777" w:rsidR="00393120" w:rsidRPr="00873F20" w:rsidRDefault="00393120" w:rsidP="00CD5281">
            <w:pPr>
              <w:jc w:val="center"/>
              <w:rPr>
                <w:b/>
                <w:sz w:val="20"/>
                <w:szCs w:val="20"/>
              </w:rPr>
            </w:pPr>
            <w:r w:rsidRPr="00873F20">
              <w:rPr>
                <w:b/>
                <w:sz w:val="20"/>
                <w:szCs w:val="20"/>
              </w:rPr>
              <w:t>26,13</w:t>
            </w:r>
          </w:p>
        </w:tc>
      </w:tr>
      <w:tr w:rsidR="00393120" w:rsidRPr="00873F20" w14:paraId="3D3C5DA1" w14:textId="77777777" w:rsidTr="00CD5281">
        <w:trPr>
          <w:trHeight w:hRule="exact" w:val="549"/>
        </w:trPr>
        <w:tc>
          <w:tcPr>
            <w:tcW w:w="1844" w:type="dxa"/>
            <w:shd w:val="clear" w:color="auto" w:fill="auto"/>
            <w:vAlign w:val="center"/>
          </w:tcPr>
          <w:p w14:paraId="346690AD" w14:textId="77777777" w:rsidR="00393120" w:rsidRPr="00873F20" w:rsidRDefault="00393120" w:rsidP="00CD5281">
            <w:pPr>
              <w:jc w:val="center"/>
              <w:rPr>
                <w:b/>
                <w:sz w:val="20"/>
                <w:szCs w:val="20"/>
              </w:rPr>
            </w:pPr>
            <w:r w:rsidRPr="00873F20">
              <w:rPr>
                <w:b/>
                <w:sz w:val="20"/>
                <w:szCs w:val="20"/>
              </w:rPr>
              <w:t>République slovaque</w:t>
            </w:r>
          </w:p>
        </w:tc>
        <w:tc>
          <w:tcPr>
            <w:tcW w:w="2753" w:type="dxa"/>
            <w:shd w:val="clear" w:color="auto" w:fill="auto"/>
            <w:vAlign w:val="center"/>
          </w:tcPr>
          <w:p w14:paraId="5DC910FE" w14:textId="77777777" w:rsidR="00393120" w:rsidRPr="00873F20" w:rsidRDefault="00393120" w:rsidP="00CD5281">
            <w:pPr>
              <w:jc w:val="center"/>
              <w:rPr>
                <w:sz w:val="20"/>
                <w:szCs w:val="20"/>
              </w:rPr>
            </w:pPr>
            <w:r w:rsidRPr="00873F20">
              <w:rPr>
                <w:sz w:val="20"/>
                <w:szCs w:val="20"/>
              </w:rPr>
              <w:t>1,16</w:t>
            </w:r>
          </w:p>
        </w:tc>
        <w:tc>
          <w:tcPr>
            <w:tcW w:w="0" w:type="auto"/>
            <w:shd w:val="clear" w:color="auto" w:fill="auto"/>
            <w:vAlign w:val="center"/>
          </w:tcPr>
          <w:p w14:paraId="059DB971" w14:textId="77777777" w:rsidR="00393120" w:rsidRPr="00873F20" w:rsidRDefault="00393120" w:rsidP="00CD5281">
            <w:pPr>
              <w:jc w:val="center"/>
              <w:rPr>
                <w:sz w:val="20"/>
                <w:szCs w:val="20"/>
              </w:rPr>
            </w:pPr>
            <w:r w:rsidRPr="00873F20">
              <w:rPr>
                <w:sz w:val="20"/>
                <w:szCs w:val="20"/>
              </w:rPr>
              <w:t>+4,85</w:t>
            </w:r>
          </w:p>
        </w:tc>
        <w:tc>
          <w:tcPr>
            <w:tcW w:w="0" w:type="auto"/>
            <w:shd w:val="clear" w:color="auto" w:fill="auto"/>
            <w:vAlign w:val="center"/>
          </w:tcPr>
          <w:p w14:paraId="0EDFDD60" w14:textId="77777777" w:rsidR="00393120" w:rsidRPr="00873F20" w:rsidRDefault="00393120" w:rsidP="00CD5281">
            <w:pPr>
              <w:jc w:val="center"/>
              <w:rPr>
                <w:sz w:val="20"/>
                <w:szCs w:val="20"/>
              </w:rPr>
            </w:pPr>
            <w:r w:rsidRPr="00873F20">
              <w:rPr>
                <w:sz w:val="20"/>
                <w:szCs w:val="20"/>
              </w:rPr>
              <w:t>19,12</w:t>
            </w:r>
          </w:p>
        </w:tc>
      </w:tr>
      <w:tr w:rsidR="00393120" w:rsidRPr="00873F20" w14:paraId="0C45305A" w14:textId="77777777" w:rsidTr="00CD5281">
        <w:trPr>
          <w:trHeight w:hRule="exact" w:val="284"/>
        </w:trPr>
        <w:tc>
          <w:tcPr>
            <w:tcW w:w="1844" w:type="dxa"/>
            <w:shd w:val="clear" w:color="auto" w:fill="auto"/>
            <w:vAlign w:val="center"/>
          </w:tcPr>
          <w:p w14:paraId="4FE0B457" w14:textId="77777777" w:rsidR="00393120" w:rsidRPr="00873F20" w:rsidRDefault="00393120" w:rsidP="00CD5281">
            <w:pPr>
              <w:jc w:val="center"/>
              <w:rPr>
                <w:b/>
                <w:sz w:val="20"/>
                <w:szCs w:val="20"/>
              </w:rPr>
            </w:pPr>
            <w:r w:rsidRPr="00873F20">
              <w:rPr>
                <w:b/>
                <w:sz w:val="20"/>
                <w:szCs w:val="20"/>
              </w:rPr>
              <w:t>Slovénie</w:t>
            </w:r>
          </w:p>
        </w:tc>
        <w:tc>
          <w:tcPr>
            <w:tcW w:w="2753" w:type="dxa"/>
            <w:shd w:val="clear" w:color="auto" w:fill="auto"/>
            <w:vAlign w:val="center"/>
          </w:tcPr>
          <w:p w14:paraId="7A73590D" w14:textId="77777777" w:rsidR="00393120" w:rsidRPr="00873F20" w:rsidRDefault="00393120" w:rsidP="00CD5281">
            <w:pPr>
              <w:jc w:val="center"/>
              <w:rPr>
                <w:sz w:val="20"/>
                <w:szCs w:val="20"/>
              </w:rPr>
            </w:pPr>
            <w:r w:rsidRPr="00873F20">
              <w:rPr>
                <w:sz w:val="20"/>
                <w:szCs w:val="20"/>
              </w:rPr>
              <w:t>0,94</w:t>
            </w:r>
          </w:p>
        </w:tc>
        <w:tc>
          <w:tcPr>
            <w:tcW w:w="0" w:type="auto"/>
            <w:shd w:val="clear" w:color="auto" w:fill="auto"/>
            <w:vAlign w:val="center"/>
          </w:tcPr>
          <w:p w14:paraId="362C33B2" w14:textId="77777777" w:rsidR="00393120" w:rsidRPr="00873F20" w:rsidRDefault="00393120" w:rsidP="00CD5281">
            <w:pPr>
              <w:jc w:val="center"/>
              <w:rPr>
                <w:sz w:val="20"/>
                <w:szCs w:val="20"/>
              </w:rPr>
            </w:pPr>
            <w:r w:rsidRPr="00873F20">
              <w:rPr>
                <w:sz w:val="20"/>
                <w:szCs w:val="20"/>
              </w:rPr>
              <w:t>+1,46</w:t>
            </w:r>
          </w:p>
        </w:tc>
        <w:tc>
          <w:tcPr>
            <w:tcW w:w="0" w:type="auto"/>
            <w:shd w:val="clear" w:color="auto" w:fill="auto"/>
            <w:vAlign w:val="center"/>
          </w:tcPr>
          <w:p w14:paraId="58C803C3" w14:textId="77777777" w:rsidR="00393120" w:rsidRPr="00873F20" w:rsidRDefault="00393120" w:rsidP="00CD5281">
            <w:pPr>
              <w:jc w:val="center"/>
              <w:rPr>
                <w:sz w:val="20"/>
                <w:szCs w:val="20"/>
              </w:rPr>
            </w:pPr>
            <w:r w:rsidRPr="00873F20">
              <w:rPr>
                <w:sz w:val="20"/>
                <w:szCs w:val="20"/>
              </w:rPr>
              <w:t>1,17</w:t>
            </w:r>
          </w:p>
        </w:tc>
      </w:tr>
      <w:tr w:rsidR="00393120" w:rsidRPr="00873F20" w14:paraId="31D095C4" w14:textId="77777777" w:rsidTr="00CD5281">
        <w:trPr>
          <w:trHeight w:hRule="exact" w:val="284"/>
        </w:trPr>
        <w:tc>
          <w:tcPr>
            <w:tcW w:w="1844" w:type="dxa"/>
            <w:shd w:val="clear" w:color="auto" w:fill="auto"/>
            <w:vAlign w:val="center"/>
          </w:tcPr>
          <w:p w14:paraId="555C9E5F" w14:textId="77777777" w:rsidR="00393120" w:rsidRPr="00873F20" w:rsidRDefault="00393120" w:rsidP="00CD5281">
            <w:pPr>
              <w:jc w:val="center"/>
              <w:rPr>
                <w:b/>
                <w:sz w:val="20"/>
                <w:szCs w:val="20"/>
              </w:rPr>
            </w:pPr>
            <w:r w:rsidRPr="00873F20">
              <w:rPr>
                <w:b/>
                <w:sz w:val="20"/>
                <w:szCs w:val="20"/>
              </w:rPr>
              <w:t>Espagne</w:t>
            </w:r>
          </w:p>
        </w:tc>
        <w:tc>
          <w:tcPr>
            <w:tcW w:w="2753" w:type="dxa"/>
            <w:shd w:val="clear" w:color="auto" w:fill="auto"/>
            <w:vAlign w:val="center"/>
          </w:tcPr>
          <w:p w14:paraId="5D348CC2" w14:textId="77777777" w:rsidR="00393120" w:rsidRPr="00873F20" w:rsidRDefault="00393120" w:rsidP="00CD5281">
            <w:pPr>
              <w:jc w:val="center"/>
              <w:rPr>
                <w:sz w:val="20"/>
                <w:szCs w:val="20"/>
              </w:rPr>
            </w:pPr>
            <w:r w:rsidRPr="00873F20">
              <w:rPr>
                <w:sz w:val="20"/>
                <w:szCs w:val="20"/>
              </w:rPr>
              <w:t>0,91</w:t>
            </w:r>
          </w:p>
        </w:tc>
        <w:tc>
          <w:tcPr>
            <w:tcW w:w="0" w:type="auto"/>
            <w:shd w:val="clear" w:color="auto" w:fill="auto"/>
            <w:vAlign w:val="center"/>
          </w:tcPr>
          <w:p w14:paraId="4408DE0B" w14:textId="77777777" w:rsidR="00393120" w:rsidRPr="00873F20" w:rsidRDefault="00393120" w:rsidP="00CD5281">
            <w:pPr>
              <w:jc w:val="center"/>
              <w:rPr>
                <w:sz w:val="20"/>
                <w:szCs w:val="20"/>
              </w:rPr>
            </w:pPr>
            <w:r w:rsidRPr="00873F20">
              <w:rPr>
                <w:sz w:val="20"/>
                <w:szCs w:val="20"/>
              </w:rPr>
              <w:t>+0,62</w:t>
            </w:r>
          </w:p>
        </w:tc>
        <w:tc>
          <w:tcPr>
            <w:tcW w:w="0" w:type="auto"/>
            <w:shd w:val="clear" w:color="auto" w:fill="auto"/>
            <w:vAlign w:val="center"/>
          </w:tcPr>
          <w:p w14:paraId="233B3798" w14:textId="77777777" w:rsidR="00393120" w:rsidRPr="00873F20" w:rsidRDefault="00393120" w:rsidP="00CD5281">
            <w:pPr>
              <w:jc w:val="center"/>
              <w:rPr>
                <w:sz w:val="20"/>
                <w:szCs w:val="20"/>
              </w:rPr>
            </w:pPr>
            <w:r w:rsidRPr="00873F20">
              <w:rPr>
                <w:sz w:val="20"/>
                <w:szCs w:val="20"/>
              </w:rPr>
              <w:t>15,23</w:t>
            </w:r>
          </w:p>
        </w:tc>
      </w:tr>
      <w:tr w:rsidR="00393120" w:rsidRPr="00873F20" w14:paraId="4DBB8A40" w14:textId="77777777" w:rsidTr="00CD5281">
        <w:trPr>
          <w:trHeight w:hRule="exact" w:val="284"/>
        </w:trPr>
        <w:tc>
          <w:tcPr>
            <w:tcW w:w="1844" w:type="dxa"/>
            <w:shd w:val="clear" w:color="auto" w:fill="auto"/>
            <w:vAlign w:val="center"/>
          </w:tcPr>
          <w:p w14:paraId="2A0E47FC" w14:textId="77777777" w:rsidR="00393120" w:rsidRPr="00873F20" w:rsidRDefault="00393120" w:rsidP="00CD5281">
            <w:pPr>
              <w:jc w:val="center"/>
              <w:rPr>
                <w:b/>
                <w:sz w:val="20"/>
                <w:szCs w:val="20"/>
              </w:rPr>
            </w:pPr>
            <w:r w:rsidRPr="00873F20">
              <w:rPr>
                <w:b/>
                <w:sz w:val="20"/>
                <w:szCs w:val="20"/>
              </w:rPr>
              <w:t>Turquie</w:t>
            </w:r>
          </w:p>
        </w:tc>
        <w:tc>
          <w:tcPr>
            <w:tcW w:w="2753" w:type="dxa"/>
            <w:shd w:val="clear" w:color="auto" w:fill="auto"/>
            <w:vAlign w:val="center"/>
          </w:tcPr>
          <w:p w14:paraId="00EC68D7" w14:textId="77777777" w:rsidR="00393120" w:rsidRPr="00873F20" w:rsidRDefault="00393120" w:rsidP="00CD5281">
            <w:pPr>
              <w:jc w:val="center"/>
              <w:rPr>
                <w:sz w:val="20"/>
                <w:szCs w:val="20"/>
              </w:rPr>
            </w:pPr>
            <w:r w:rsidRPr="00873F20">
              <w:rPr>
                <w:sz w:val="20"/>
                <w:szCs w:val="20"/>
              </w:rPr>
              <w:t>1,56</w:t>
            </w:r>
          </w:p>
        </w:tc>
        <w:tc>
          <w:tcPr>
            <w:tcW w:w="0" w:type="auto"/>
            <w:shd w:val="clear" w:color="auto" w:fill="auto"/>
            <w:vAlign w:val="center"/>
          </w:tcPr>
          <w:p w14:paraId="087EAEDD" w14:textId="77777777" w:rsidR="00393120" w:rsidRPr="00873F20" w:rsidRDefault="00393120" w:rsidP="00CD5281">
            <w:pPr>
              <w:jc w:val="center"/>
              <w:rPr>
                <w:sz w:val="20"/>
                <w:szCs w:val="20"/>
              </w:rPr>
            </w:pPr>
            <w:r w:rsidRPr="00873F20">
              <w:rPr>
                <w:sz w:val="20"/>
                <w:szCs w:val="20"/>
              </w:rPr>
              <w:t>-3,23</w:t>
            </w:r>
          </w:p>
        </w:tc>
        <w:tc>
          <w:tcPr>
            <w:tcW w:w="0" w:type="auto"/>
            <w:shd w:val="clear" w:color="auto" w:fill="auto"/>
            <w:vAlign w:val="center"/>
          </w:tcPr>
          <w:p w14:paraId="7F0714F2" w14:textId="77777777" w:rsidR="00393120" w:rsidRPr="00873F20" w:rsidRDefault="00393120" w:rsidP="00CD5281">
            <w:pPr>
              <w:jc w:val="center"/>
              <w:rPr>
                <w:b/>
                <w:sz w:val="20"/>
                <w:szCs w:val="20"/>
              </w:rPr>
            </w:pPr>
            <w:r w:rsidRPr="00873F20">
              <w:rPr>
                <w:b/>
                <w:sz w:val="20"/>
                <w:szCs w:val="20"/>
              </w:rPr>
              <w:t>23,58</w:t>
            </w:r>
          </w:p>
        </w:tc>
      </w:tr>
      <w:tr w:rsidR="00393120" w:rsidRPr="00873F20" w14:paraId="4105DF4C" w14:textId="77777777" w:rsidTr="00CD5281">
        <w:trPr>
          <w:trHeight w:hRule="exact" w:val="284"/>
        </w:trPr>
        <w:tc>
          <w:tcPr>
            <w:tcW w:w="1844" w:type="dxa"/>
            <w:shd w:val="clear" w:color="auto" w:fill="auto"/>
            <w:vAlign w:val="center"/>
          </w:tcPr>
          <w:p w14:paraId="2EB3A4EC" w14:textId="77777777" w:rsidR="00393120" w:rsidRPr="00873F20" w:rsidRDefault="00393120" w:rsidP="00CD5281">
            <w:pPr>
              <w:jc w:val="center"/>
              <w:rPr>
                <w:b/>
                <w:sz w:val="20"/>
                <w:szCs w:val="20"/>
              </w:rPr>
            </w:pPr>
            <w:r w:rsidRPr="00873F20">
              <w:rPr>
                <w:b/>
                <w:sz w:val="20"/>
                <w:szCs w:val="20"/>
              </w:rPr>
              <w:t>Royaume-Uni</w:t>
            </w:r>
          </w:p>
        </w:tc>
        <w:tc>
          <w:tcPr>
            <w:tcW w:w="2753" w:type="dxa"/>
            <w:shd w:val="clear" w:color="auto" w:fill="auto"/>
            <w:vAlign w:val="center"/>
          </w:tcPr>
          <w:p w14:paraId="3CCACC40" w14:textId="77777777" w:rsidR="00393120" w:rsidRPr="00873F20" w:rsidRDefault="00393120" w:rsidP="00CD5281">
            <w:pPr>
              <w:jc w:val="center"/>
              <w:rPr>
                <w:b/>
                <w:sz w:val="20"/>
                <w:szCs w:val="20"/>
              </w:rPr>
            </w:pPr>
            <w:r w:rsidRPr="00873F20">
              <w:rPr>
                <w:b/>
                <w:sz w:val="20"/>
                <w:szCs w:val="20"/>
              </w:rPr>
              <w:t>2,21</w:t>
            </w:r>
          </w:p>
        </w:tc>
        <w:tc>
          <w:tcPr>
            <w:tcW w:w="0" w:type="auto"/>
            <w:shd w:val="clear" w:color="auto" w:fill="auto"/>
            <w:vAlign w:val="center"/>
          </w:tcPr>
          <w:p w14:paraId="4B0A76E9" w14:textId="77777777" w:rsidR="00393120" w:rsidRPr="00873F20" w:rsidRDefault="00393120" w:rsidP="00CD5281">
            <w:pPr>
              <w:jc w:val="center"/>
              <w:rPr>
                <w:sz w:val="20"/>
                <w:szCs w:val="20"/>
              </w:rPr>
            </w:pPr>
            <w:r w:rsidRPr="00873F20">
              <w:rPr>
                <w:sz w:val="20"/>
                <w:szCs w:val="20"/>
              </w:rPr>
              <w:t>+7,44</w:t>
            </w:r>
          </w:p>
        </w:tc>
        <w:tc>
          <w:tcPr>
            <w:tcW w:w="0" w:type="auto"/>
            <w:shd w:val="clear" w:color="auto" w:fill="auto"/>
            <w:vAlign w:val="center"/>
          </w:tcPr>
          <w:p w14:paraId="6B80A34E" w14:textId="77777777" w:rsidR="00393120" w:rsidRPr="00873F20" w:rsidRDefault="00393120" w:rsidP="00CD5281">
            <w:pPr>
              <w:jc w:val="center"/>
              <w:rPr>
                <w:b/>
                <w:sz w:val="20"/>
                <w:szCs w:val="20"/>
              </w:rPr>
            </w:pPr>
            <w:r w:rsidRPr="00873F20">
              <w:rPr>
                <w:b/>
                <w:sz w:val="20"/>
                <w:szCs w:val="20"/>
              </w:rPr>
              <w:t>23,41</w:t>
            </w:r>
          </w:p>
        </w:tc>
      </w:tr>
      <w:tr w:rsidR="00393120" w:rsidRPr="00873F20" w14:paraId="3A58BF6C" w14:textId="77777777" w:rsidTr="00CD5281">
        <w:trPr>
          <w:trHeight w:hRule="exact" w:val="284"/>
        </w:trPr>
        <w:tc>
          <w:tcPr>
            <w:tcW w:w="1844" w:type="dxa"/>
            <w:shd w:val="clear" w:color="auto" w:fill="auto"/>
            <w:vAlign w:val="center"/>
          </w:tcPr>
          <w:p w14:paraId="1954391C" w14:textId="77777777" w:rsidR="00393120" w:rsidRPr="00E43218" w:rsidRDefault="00393120" w:rsidP="00CD5281">
            <w:pPr>
              <w:jc w:val="center"/>
              <w:rPr>
                <w:b/>
                <w:sz w:val="20"/>
                <w:szCs w:val="20"/>
              </w:rPr>
            </w:pPr>
            <w:r w:rsidRPr="00E43218">
              <w:rPr>
                <w:b/>
                <w:sz w:val="20"/>
                <w:szCs w:val="20"/>
              </w:rPr>
              <w:t>Europe</w:t>
            </w:r>
          </w:p>
        </w:tc>
        <w:tc>
          <w:tcPr>
            <w:tcW w:w="2753" w:type="dxa"/>
            <w:shd w:val="clear" w:color="auto" w:fill="auto"/>
            <w:vAlign w:val="center"/>
          </w:tcPr>
          <w:p w14:paraId="4F1F9A1F" w14:textId="77777777" w:rsidR="00393120" w:rsidRPr="00873F20" w:rsidRDefault="00393120" w:rsidP="00CD5281">
            <w:pPr>
              <w:jc w:val="center"/>
              <w:rPr>
                <w:i/>
                <w:sz w:val="20"/>
                <w:szCs w:val="20"/>
              </w:rPr>
            </w:pPr>
            <w:r w:rsidRPr="00873F20">
              <w:rPr>
                <w:i/>
                <w:sz w:val="20"/>
                <w:szCs w:val="20"/>
              </w:rPr>
              <w:t>1,46</w:t>
            </w:r>
          </w:p>
        </w:tc>
        <w:tc>
          <w:tcPr>
            <w:tcW w:w="0" w:type="auto"/>
            <w:shd w:val="clear" w:color="auto" w:fill="auto"/>
            <w:vAlign w:val="center"/>
          </w:tcPr>
          <w:p w14:paraId="0A6884E3" w14:textId="77777777" w:rsidR="00393120" w:rsidRPr="00873F20" w:rsidRDefault="00393120" w:rsidP="00CD5281">
            <w:pPr>
              <w:jc w:val="center"/>
              <w:rPr>
                <w:i/>
                <w:sz w:val="20"/>
                <w:szCs w:val="20"/>
              </w:rPr>
            </w:pPr>
            <w:r w:rsidRPr="00873F20">
              <w:rPr>
                <w:i/>
                <w:sz w:val="20"/>
                <w:szCs w:val="20"/>
              </w:rPr>
              <w:t>+2,97</w:t>
            </w:r>
          </w:p>
        </w:tc>
        <w:tc>
          <w:tcPr>
            <w:tcW w:w="0" w:type="auto"/>
            <w:shd w:val="clear" w:color="auto" w:fill="000000"/>
            <w:vAlign w:val="center"/>
          </w:tcPr>
          <w:p w14:paraId="66BEA1F9" w14:textId="77777777" w:rsidR="00393120" w:rsidRPr="00873F20" w:rsidRDefault="00393120" w:rsidP="00CD5281">
            <w:pPr>
              <w:jc w:val="center"/>
              <w:rPr>
                <w:i/>
                <w:sz w:val="20"/>
                <w:szCs w:val="20"/>
              </w:rPr>
            </w:pPr>
          </w:p>
        </w:tc>
      </w:tr>
      <w:tr w:rsidR="00393120" w:rsidRPr="00873F20" w14:paraId="7CD93820" w14:textId="77777777" w:rsidTr="00CD5281">
        <w:trPr>
          <w:trHeight w:hRule="exact" w:val="284"/>
        </w:trPr>
        <w:tc>
          <w:tcPr>
            <w:tcW w:w="1844" w:type="dxa"/>
            <w:shd w:val="clear" w:color="auto" w:fill="auto"/>
            <w:vAlign w:val="center"/>
          </w:tcPr>
          <w:p w14:paraId="79B476A3" w14:textId="77777777" w:rsidR="00393120" w:rsidRPr="00873F20" w:rsidRDefault="00393120" w:rsidP="00CD5281">
            <w:pPr>
              <w:jc w:val="center"/>
              <w:rPr>
                <w:b/>
                <w:sz w:val="20"/>
                <w:szCs w:val="20"/>
              </w:rPr>
            </w:pPr>
            <w:r w:rsidRPr="00873F20">
              <w:rPr>
                <w:b/>
                <w:sz w:val="20"/>
                <w:szCs w:val="20"/>
              </w:rPr>
              <w:t>Canada</w:t>
            </w:r>
          </w:p>
        </w:tc>
        <w:tc>
          <w:tcPr>
            <w:tcW w:w="2753" w:type="dxa"/>
            <w:shd w:val="clear" w:color="auto" w:fill="auto"/>
            <w:vAlign w:val="center"/>
          </w:tcPr>
          <w:p w14:paraId="1B383458" w14:textId="77777777" w:rsidR="00393120" w:rsidRPr="00873F20" w:rsidRDefault="00393120" w:rsidP="00CD5281">
            <w:pPr>
              <w:jc w:val="center"/>
              <w:rPr>
                <w:sz w:val="20"/>
                <w:szCs w:val="20"/>
              </w:rPr>
            </w:pPr>
            <w:r w:rsidRPr="00873F20">
              <w:rPr>
                <w:sz w:val="20"/>
                <w:szCs w:val="20"/>
              </w:rPr>
              <w:t>0,99</w:t>
            </w:r>
          </w:p>
        </w:tc>
        <w:tc>
          <w:tcPr>
            <w:tcW w:w="0" w:type="auto"/>
            <w:shd w:val="clear" w:color="auto" w:fill="auto"/>
            <w:vAlign w:val="center"/>
          </w:tcPr>
          <w:p w14:paraId="563CC173" w14:textId="77777777" w:rsidR="00393120" w:rsidRPr="00873F20" w:rsidRDefault="00393120" w:rsidP="00CD5281">
            <w:pPr>
              <w:jc w:val="center"/>
              <w:rPr>
                <w:sz w:val="20"/>
                <w:szCs w:val="20"/>
              </w:rPr>
            </w:pPr>
            <w:r w:rsidRPr="00873F20">
              <w:rPr>
                <w:sz w:val="20"/>
                <w:szCs w:val="20"/>
              </w:rPr>
              <w:t>+3,33</w:t>
            </w:r>
          </w:p>
        </w:tc>
        <w:tc>
          <w:tcPr>
            <w:tcW w:w="0" w:type="auto"/>
            <w:shd w:val="clear" w:color="auto" w:fill="auto"/>
            <w:vAlign w:val="center"/>
          </w:tcPr>
          <w:p w14:paraId="73D63C6E" w14:textId="77777777" w:rsidR="00393120" w:rsidRPr="00873F20" w:rsidRDefault="00393120" w:rsidP="00CD5281">
            <w:pPr>
              <w:jc w:val="center"/>
              <w:rPr>
                <w:sz w:val="20"/>
                <w:szCs w:val="20"/>
              </w:rPr>
            </w:pPr>
            <w:r w:rsidRPr="00873F20">
              <w:rPr>
                <w:sz w:val="20"/>
                <w:szCs w:val="20"/>
              </w:rPr>
              <w:t>18,06</w:t>
            </w:r>
          </w:p>
        </w:tc>
      </w:tr>
      <w:tr w:rsidR="00393120" w:rsidRPr="00873F20" w14:paraId="3E7FD57B" w14:textId="77777777" w:rsidTr="00CD5281">
        <w:trPr>
          <w:trHeight w:hRule="exact" w:val="284"/>
        </w:trPr>
        <w:tc>
          <w:tcPr>
            <w:tcW w:w="1844" w:type="dxa"/>
            <w:shd w:val="clear" w:color="auto" w:fill="auto"/>
            <w:vAlign w:val="center"/>
          </w:tcPr>
          <w:p w14:paraId="344B20AE" w14:textId="77777777" w:rsidR="00393120" w:rsidRPr="00873F20" w:rsidRDefault="00393120" w:rsidP="00CD5281">
            <w:pPr>
              <w:jc w:val="center"/>
              <w:rPr>
                <w:b/>
                <w:sz w:val="20"/>
                <w:szCs w:val="20"/>
              </w:rPr>
            </w:pPr>
            <w:r w:rsidRPr="00873F20">
              <w:rPr>
                <w:b/>
                <w:sz w:val="20"/>
                <w:szCs w:val="20"/>
              </w:rPr>
              <w:t>États-Unis</w:t>
            </w:r>
          </w:p>
        </w:tc>
        <w:tc>
          <w:tcPr>
            <w:tcW w:w="2753" w:type="dxa"/>
            <w:shd w:val="clear" w:color="auto" w:fill="auto"/>
            <w:vAlign w:val="center"/>
          </w:tcPr>
          <w:p w14:paraId="41319332" w14:textId="77777777" w:rsidR="00393120" w:rsidRPr="00873F20" w:rsidRDefault="00393120" w:rsidP="00CD5281">
            <w:pPr>
              <w:jc w:val="center"/>
              <w:rPr>
                <w:b/>
                <w:sz w:val="20"/>
                <w:szCs w:val="20"/>
              </w:rPr>
            </w:pPr>
            <w:r w:rsidRPr="00873F20">
              <w:rPr>
                <w:b/>
                <w:sz w:val="20"/>
                <w:szCs w:val="20"/>
              </w:rPr>
              <w:t>3,61</w:t>
            </w:r>
          </w:p>
        </w:tc>
        <w:tc>
          <w:tcPr>
            <w:tcW w:w="0" w:type="auto"/>
            <w:shd w:val="clear" w:color="auto" w:fill="auto"/>
            <w:vAlign w:val="center"/>
          </w:tcPr>
          <w:p w14:paraId="25E8B2CB" w14:textId="77777777" w:rsidR="00393120" w:rsidRPr="00873F20" w:rsidRDefault="00393120" w:rsidP="00CD5281">
            <w:pPr>
              <w:jc w:val="center"/>
              <w:rPr>
                <w:sz w:val="20"/>
                <w:szCs w:val="20"/>
              </w:rPr>
            </w:pPr>
            <w:r w:rsidRPr="00873F20">
              <w:rPr>
                <w:sz w:val="20"/>
                <w:szCs w:val="20"/>
              </w:rPr>
              <w:t>+2,49</w:t>
            </w:r>
          </w:p>
        </w:tc>
        <w:tc>
          <w:tcPr>
            <w:tcW w:w="0" w:type="auto"/>
            <w:shd w:val="clear" w:color="auto" w:fill="auto"/>
            <w:vAlign w:val="center"/>
          </w:tcPr>
          <w:p w14:paraId="6B1FD01D" w14:textId="77777777" w:rsidR="00393120" w:rsidRPr="00E43218" w:rsidRDefault="00393120" w:rsidP="00CD5281">
            <w:pPr>
              <w:jc w:val="center"/>
              <w:rPr>
                <w:b/>
                <w:sz w:val="20"/>
                <w:szCs w:val="20"/>
              </w:rPr>
            </w:pPr>
            <w:r w:rsidRPr="00E43218">
              <w:rPr>
                <w:b/>
                <w:sz w:val="20"/>
                <w:szCs w:val="20"/>
              </w:rPr>
              <w:t>25,03</w:t>
            </w:r>
          </w:p>
        </w:tc>
      </w:tr>
      <w:tr w:rsidR="00393120" w:rsidRPr="00873F20" w14:paraId="34C29BA2" w14:textId="77777777" w:rsidTr="00CD5281">
        <w:trPr>
          <w:trHeight w:hRule="exact" w:val="556"/>
        </w:trPr>
        <w:tc>
          <w:tcPr>
            <w:tcW w:w="1844" w:type="dxa"/>
            <w:shd w:val="clear" w:color="auto" w:fill="auto"/>
            <w:vAlign w:val="center"/>
          </w:tcPr>
          <w:p w14:paraId="492DADB8" w14:textId="77777777" w:rsidR="00393120" w:rsidRPr="00E43218" w:rsidRDefault="00393120" w:rsidP="00CD5281">
            <w:pPr>
              <w:jc w:val="center"/>
              <w:rPr>
                <w:b/>
                <w:sz w:val="20"/>
                <w:szCs w:val="20"/>
                <w:lang w:val="en-GB"/>
              </w:rPr>
            </w:pPr>
            <w:r w:rsidRPr="00E43218">
              <w:rPr>
                <w:b/>
                <w:sz w:val="20"/>
                <w:szCs w:val="20"/>
              </w:rPr>
              <w:t>Amérique du Nord</w:t>
            </w:r>
          </w:p>
        </w:tc>
        <w:tc>
          <w:tcPr>
            <w:tcW w:w="2753" w:type="dxa"/>
            <w:shd w:val="clear" w:color="auto" w:fill="auto"/>
            <w:vAlign w:val="center"/>
          </w:tcPr>
          <w:p w14:paraId="786E441B" w14:textId="77777777" w:rsidR="00393120" w:rsidRPr="00873F20" w:rsidRDefault="00393120" w:rsidP="00CD5281">
            <w:pPr>
              <w:jc w:val="center"/>
              <w:rPr>
                <w:i/>
                <w:sz w:val="20"/>
                <w:szCs w:val="20"/>
              </w:rPr>
            </w:pPr>
            <w:r w:rsidRPr="00873F20">
              <w:rPr>
                <w:i/>
                <w:sz w:val="20"/>
                <w:szCs w:val="20"/>
              </w:rPr>
              <w:t>3,36</w:t>
            </w:r>
          </w:p>
        </w:tc>
        <w:tc>
          <w:tcPr>
            <w:tcW w:w="0" w:type="auto"/>
            <w:shd w:val="clear" w:color="auto" w:fill="auto"/>
            <w:vAlign w:val="center"/>
          </w:tcPr>
          <w:p w14:paraId="3937BEF6" w14:textId="77777777" w:rsidR="00393120" w:rsidRPr="00873F20" w:rsidRDefault="00393120" w:rsidP="00CD5281">
            <w:pPr>
              <w:jc w:val="center"/>
              <w:rPr>
                <w:i/>
                <w:sz w:val="20"/>
                <w:szCs w:val="20"/>
              </w:rPr>
            </w:pPr>
            <w:r w:rsidRPr="00873F20">
              <w:rPr>
                <w:i/>
                <w:sz w:val="20"/>
                <w:szCs w:val="20"/>
              </w:rPr>
              <w:t>+2,52</w:t>
            </w:r>
          </w:p>
        </w:tc>
        <w:tc>
          <w:tcPr>
            <w:tcW w:w="0" w:type="auto"/>
            <w:shd w:val="clear" w:color="auto" w:fill="000000"/>
            <w:vAlign w:val="center"/>
          </w:tcPr>
          <w:p w14:paraId="2AA5C6A6" w14:textId="77777777" w:rsidR="00393120" w:rsidRPr="00873F20" w:rsidRDefault="00393120" w:rsidP="00CD5281">
            <w:pPr>
              <w:jc w:val="center"/>
              <w:rPr>
                <w:i/>
                <w:sz w:val="20"/>
                <w:szCs w:val="20"/>
              </w:rPr>
            </w:pPr>
          </w:p>
        </w:tc>
      </w:tr>
      <w:tr w:rsidR="00393120" w:rsidRPr="00873F20" w14:paraId="1C7D25E3" w14:textId="77777777" w:rsidTr="00CD5281">
        <w:trPr>
          <w:trHeight w:hRule="exact" w:val="284"/>
        </w:trPr>
        <w:tc>
          <w:tcPr>
            <w:tcW w:w="1844" w:type="dxa"/>
            <w:shd w:val="clear" w:color="auto" w:fill="auto"/>
            <w:vAlign w:val="center"/>
          </w:tcPr>
          <w:p w14:paraId="28D95AB6" w14:textId="77777777" w:rsidR="00393120" w:rsidRPr="00E43218" w:rsidRDefault="00393120" w:rsidP="00CD5281">
            <w:pPr>
              <w:jc w:val="center"/>
              <w:rPr>
                <w:b/>
                <w:sz w:val="20"/>
                <w:szCs w:val="20"/>
              </w:rPr>
            </w:pPr>
            <w:r w:rsidRPr="00E43218">
              <w:rPr>
                <w:b/>
                <w:sz w:val="20"/>
                <w:szCs w:val="20"/>
              </w:rPr>
              <w:t>OTAN - Total</w:t>
            </w:r>
          </w:p>
        </w:tc>
        <w:tc>
          <w:tcPr>
            <w:tcW w:w="2753" w:type="dxa"/>
            <w:shd w:val="clear" w:color="auto" w:fill="auto"/>
            <w:vAlign w:val="center"/>
          </w:tcPr>
          <w:p w14:paraId="3579CF2F" w14:textId="77777777" w:rsidR="00393120" w:rsidRPr="00873F20" w:rsidRDefault="00393120" w:rsidP="00CD5281">
            <w:pPr>
              <w:jc w:val="center"/>
              <w:rPr>
                <w:i/>
                <w:sz w:val="20"/>
                <w:szCs w:val="20"/>
              </w:rPr>
            </w:pPr>
            <w:r w:rsidRPr="00873F20">
              <w:rPr>
                <w:i/>
                <w:sz w:val="20"/>
                <w:szCs w:val="20"/>
              </w:rPr>
              <w:t>2,46</w:t>
            </w:r>
          </w:p>
        </w:tc>
        <w:tc>
          <w:tcPr>
            <w:tcW w:w="0" w:type="auto"/>
            <w:shd w:val="clear" w:color="auto" w:fill="auto"/>
            <w:vAlign w:val="center"/>
          </w:tcPr>
          <w:p w14:paraId="1D0E1A77" w14:textId="77777777" w:rsidR="00393120" w:rsidRPr="00873F20" w:rsidRDefault="00393120" w:rsidP="00CD5281">
            <w:pPr>
              <w:jc w:val="center"/>
              <w:rPr>
                <w:i/>
                <w:sz w:val="20"/>
                <w:szCs w:val="20"/>
              </w:rPr>
            </w:pPr>
            <w:r w:rsidRPr="00873F20">
              <w:rPr>
                <w:i/>
                <w:sz w:val="20"/>
                <w:szCs w:val="20"/>
              </w:rPr>
              <w:t>+2,65</w:t>
            </w:r>
          </w:p>
        </w:tc>
        <w:tc>
          <w:tcPr>
            <w:tcW w:w="0" w:type="auto"/>
            <w:shd w:val="clear" w:color="auto" w:fill="000000"/>
            <w:vAlign w:val="center"/>
          </w:tcPr>
          <w:p w14:paraId="4119F948" w14:textId="77777777" w:rsidR="00393120" w:rsidRPr="00873F20" w:rsidRDefault="00393120" w:rsidP="00CD5281">
            <w:pPr>
              <w:jc w:val="center"/>
              <w:rPr>
                <w:i/>
                <w:sz w:val="20"/>
                <w:szCs w:val="20"/>
              </w:rPr>
            </w:pPr>
          </w:p>
        </w:tc>
      </w:tr>
    </w:tbl>
    <w:p w14:paraId="08232A11" w14:textId="77777777" w:rsidR="00393120" w:rsidRPr="00873F20" w:rsidRDefault="00393120" w:rsidP="00393120">
      <w:pPr>
        <w:tabs>
          <w:tab w:val="clear" w:pos="567"/>
        </w:tabs>
        <w:ind w:right="1417"/>
        <w:rPr>
          <w:bCs/>
        </w:rPr>
      </w:pPr>
    </w:p>
    <w:p w14:paraId="48119548" w14:textId="77777777" w:rsidR="00393120" w:rsidRPr="00873F20" w:rsidRDefault="00393120" w:rsidP="00393120">
      <w:pPr>
        <w:tabs>
          <w:tab w:val="clear" w:pos="567"/>
        </w:tabs>
        <w:rPr>
          <w:bCs/>
        </w:rPr>
      </w:pPr>
      <w:r w:rsidRPr="00873F20">
        <w:rPr>
          <w:bCs/>
        </w:rPr>
        <w:t>Les chiffres en gras indiquent que les pays concernés se sont conformés aux directives de l’OTAN dans le cadre de l’engagement 2&amp;20.</w:t>
      </w:r>
    </w:p>
    <w:p w14:paraId="0B153EE5" w14:textId="77777777" w:rsidR="00393120" w:rsidRPr="00393120" w:rsidRDefault="00393120">
      <w:pPr>
        <w:tabs>
          <w:tab w:val="clear" w:pos="567"/>
        </w:tabs>
        <w:overflowPunct/>
        <w:autoSpaceDE/>
        <w:autoSpaceDN/>
        <w:adjustRightInd/>
        <w:jc w:val="left"/>
        <w:textAlignment w:val="auto"/>
        <w:rPr>
          <w:rFonts w:eastAsia="Calibri"/>
          <w:b/>
          <w:bCs/>
          <w:iCs/>
          <w:caps/>
          <w:szCs w:val="24"/>
          <w:lang w:val="fr-BE"/>
        </w:rPr>
      </w:pPr>
      <w:r w:rsidRPr="00393120">
        <w:rPr>
          <w:rFonts w:eastAsia="Calibri"/>
          <w:lang w:val="fr-BE"/>
        </w:rPr>
        <w:br w:type="page"/>
      </w:r>
    </w:p>
    <w:p w14:paraId="27A11009" w14:textId="09FEB292" w:rsidR="00C02C3A" w:rsidRPr="00873F20" w:rsidRDefault="00C02C3A" w:rsidP="00C8401C">
      <w:pPr>
        <w:pStyle w:val="Heading1"/>
        <w:numPr>
          <w:ilvl w:val="0"/>
          <w:numId w:val="0"/>
        </w:numPr>
        <w:jc w:val="center"/>
        <w:rPr>
          <w:rFonts w:eastAsia="Calibri"/>
          <w:lang w:val="en-US"/>
        </w:rPr>
      </w:pPr>
      <w:bookmarkStart w:id="24" w:name="_Toc464810730"/>
      <w:r w:rsidRPr="00873F20">
        <w:rPr>
          <w:rFonts w:eastAsia="Calibri"/>
          <w:lang w:val="en-US"/>
        </w:rPr>
        <w:t>Bibliograph</w:t>
      </w:r>
      <w:bookmarkEnd w:id="22"/>
      <w:r w:rsidRPr="00873F20">
        <w:rPr>
          <w:rFonts w:eastAsia="Calibri"/>
          <w:lang w:val="en-US"/>
        </w:rPr>
        <w:t>IE</w:t>
      </w:r>
      <w:bookmarkEnd w:id="24"/>
    </w:p>
    <w:p w14:paraId="68F0F372" w14:textId="77777777" w:rsidR="00C02C3A" w:rsidRPr="00873F20" w:rsidRDefault="00C02C3A" w:rsidP="00C02C3A">
      <w:pPr>
        <w:rPr>
          <w:rFonts w:eastAsia="Calibri"/>
          <w:lang w:val="en-US"/>
        </w:rPr>
      </w:pPr>
    </w:p>
    <w:p w14:paraId="22633241" w14:textId="06A092A4" w:rsidR="00966321" w:rsidRPr="007C2116" w:rsidRDefault="00966321" w:rsidP="00101561">
      <w:pPr>
        <w:tabs>
          <w:tab w:val="clear" w:pos="567"/>
        </w:tabs>
        <w:overflowPunct/>
        <w:autoSpaceDE/>
        <w:autoSpaceDN/>
        <w:adjustRightInd/>
        <w:ind w:left="720" w:hanging="720"/>
        <w:textAlignment w:val="auto"/>
        <w:rPr>
          <w:lang w:val="en-US"/>
        </w:rPr>
      </w:pPr>
      <w:proofErr w:type="spellStart"/>
      <w:r w:rsidRPr="007C2116">
        <w:rPr>
          <w:lang w:val="en-US"/>
        </w:rPr>
        <w:t>Abrahamyan</w:t>
      </w:r>
      <w:proofErr w:type="spellEnd"/>
      <w:r w:rsidRPr="007C2116">
        <w:rPr>
          <w:lang w:val="en-US"/>
        </w:rPr>
        <w:t xml:space="preserve">, Eduard, "Russia Newest A2/AD Sphere: The South Caucasus?," </w:t>
      </w:r>
      <w:r w:rsidRPr="007C2116">
        <w:rPr>
          <w:i/>
          <w:lang w:val="en-US"/>
        </w:rPr>
        <w:t>The National Interest</w:t>
      </w:r>
      <w:r w:rsidRPr="007C2116">
        <w:rPr>
          <w:lang w:val="en-US"/>
        </w:rPr>
        <w:t xml:space="preserve">, 19 </w:t>
      </w:r>
      <w:proofErr w:type="spellStart"/>
      <w:r w:rsidRPr="007C2116">
        <w:rPr>
          <w:lang w:val="en-US"/>
        </w:rPr>
        <w:t>juin</w:t>
      </w:r>
      <w:proofErr w:type="spellEnd"/>
      <w:r w:rsidRPr="007C2116">
        <w:rPr>
          <w:lang w:val="en-US"/>
        </w:rPr>
        <w:t xml:space="preserve"> 2016, </w:t>
      </w:r>
      <w:hyperlink r:id="rId20" w:history="1">
        <w:r w:rsidRPr="007C2116">
          <w:rPr>
            <w:rStyle w:val="Hyperlink"/>
            <w:color w:val="auto"/>
            <w:u w:val="none"/>
            <w:lang w:val="en-US"/>
          </w:rPr>
          <w:t>http://nationalinterest.org/print/feature/russias-new-a2-ad-sphere-the-south-caucasus-16641</w:t>
        </w:r>
      </w:hyperlink>
    </w:p>
    <w:p w14:paraId="26D5C506" w14:textId="71F43119" w:rsidR="00966321" w:rsidRPr="007C2116" w:rsidRDefault="00966321" w:rsidP="00101561">
      <w:pPr>
        <w:tabs>
          <w:tab w:val="clear" w:pos="567"/>
        </w:tabs>
        <w:overflowPunct/>
        <w:autoSpaceDE/>
        <w:autoSpaceDN/>
        <w:adjustRightInd/>
        <w:ind w:left="720" w:hanging="720"/>
        <w:textAlignment w:val="auto"/>
        <w:rPr>
          <w:lang w:val="en-US"/>
        </w:rPr>
      </w:pPr>
      <w:r w:rsidRPr="007C2116">
        <w:rPr>
          <w:lang w:val="en-US"/>
        </w:rPr>
        <w:t xml:space="preserve">Altman, Jonathan, "Russian A2/AD </w:t>
      </w:r>
      <w:proofErr w:type="gramStart"/>
      <w:r w:rsidRPr="007C2116">
        <w:rPr>
          <w:lang w:val="en-US"/>
        </w:rPr>
        <w:t>In</w:t>
      </w:r>
      <w:proofErr w:type="gramEnd"/>
      <w:r w:rsidRPr="007C2116">
        <w:rPr>
          <w:lang w:val="en-US"/>
        </w:rPr>
        <w:t xml:space="preserve"> The Eastern Mediterranean: A Growing Risk," </w:t>
      </w:r>
      <w:r w:rsidRPr="007C2116">
        <w:rPr>
          <w:i/>
          <w:lang w:val="en-US"/>
        </w:rPr>
        <w:t>Naval War College Review</w:t>
      </w:r>
      <w:r w:rsidRPr="007C2116">
        <w:rPr>
          <w:lang w:val="en-US"/>
        </w:rPr>
        <w:t>, 2015, https://www.usnwc.edu/getattachment/4ac8b59c-4634-44b3-af06-dee0203d6c67/Russian-A2-AD-in-the-Eastern-Mediterranean---A-Gro.aspx</w:t>
      </w:r>
    </w:p>
    <w:p w14:paraId="7EB855DF" w14:textId="528BBD8E" w:rsidR="00101561" w:rsidRPr="007C2116" w:rsidRDefault="00101561" w:rsidP="00101561">
      <w:pPr>
        <w:tabs>
          <w:tab w:val="clear" w:pos="567"/>
        </w:tabs>
        <w:overflowPunct/>
        <w:autoSpaceDE/>
        <w:autoSpaceDN/>
        <w:adjustRightInd/>
        <w:ind w:left="720" w:hanging="720"/>
        <w:textAlignment w:val="auto"/>
        <w:rPr>
          <w:rFonts w:eastAsia="Calibri"/>
        </w:rPr>
      </w:pPr>
      <w:r w:rsidRPr="007C2116">
        <w:rPr>
          <w:rFonts w:eastAsia="Calibri"/>
        </w:rPr>
        <w:t>Assemblée parlementaire de l’OTAN</w:t>
      </w:r>
      <w:r w:rsidR="00E11330" w:rsidRPr="007C2116">
        <w:rPr>
          <w:rFonts w:eastAsia="Calibri"/>
        </w:rPr>
        <w:t xml:space="preserve"> (AP-OTAN)</w:t>
      </w:r>
      <w:r w:rsidRPr="007C2116">
        <w:rPr>
          <w:rFonts w:eastAsia="Calibri"/>
        </w:rPr>
        <w:t xml:space="preserve">, </w:t>
      </w:r>
      <w:hyperlink r:id="rId21" w:history="1">
        <w:r w:rsidRPr="007C2116">
          <w:rPr>
            <w:rStyle w:val="Hyperlink"/>
            <w:rFonts w:eastAsia="Calibri"/>
            <w:color w:val="auto"/>
            <w:u w:val="none"/>
          </w:rPr>
          <w:t>résolution 414</w:t>
        </w:r>
      </w:hyperlink>
      <w:r w:rsidRPr="007C2116">
        <w:rPr>
          <w:rFonts w:eastAsia="Calibri"/>
        </w:rPr>
        <w:t xml:space="preserve">, novembre 2014, </w:t>
      </w:r>
    </w:p>
    <w:p w14:paraId="00C336B7" w14:textId="77777777" w:rsidR="00101561" w:rsidRPr="007C2116" w:rsidRDefault="00122DF8" w:rsidP="00101561">
      <w:pPr>
        <w:tabs>
          <w:tab w:val="clear" w:pos="567"/>
        </w:tabs>
        <w:overflowPunct/>
        <w:autoSpaceDE/>
        <w:autoSpaceDN/>
        <w:adjustRightInd/>
        <w:ind w:left="720"/>
        <w:textAlignment w:val="auto"/>
        <w:rPr>
          <w:rFonts w:eastAsia="Calibri"/>
        </w:rPr>
      </w:pPr>
      <w:hyperlink r:id="rId22" w:history="1">
        <w:r w:rsidR="00101561" w:rsidRPr="007C2116">
          <w:rPr>
            <w:rStyle w:val="Hyperlink"/>
            <w:rFonts w:eastAsia="Calibri"/>
            <w:color w:val="auto"/>
            <w:u w:val="none"/>
          </w:rPr>
          <w:t>http://www.nato-pa.int/Default.asp?SHORTCUT=3459</w:t>
        </w:r>
      </w:hyperlink>
      <w:r w:rsidR="00101561" w:rsidRPr="007C2116">
        <w:rPr>
          <w:rFonts w:eastAsia="Calibri"/>
        </w:rPr>
        <w:t xml:space="preserve"> </w:t>
      </w:r>
    </w:p>
    <w:p w14:paraId="5C16B0C4" w14:textId="77777777" w:rsidR="00101561" w:rsidRPr="007C2116" w:rsidRDefault="00101561" w:rsidP="00101561">
      <w:pPr>
        <w:tabs>
          <w:tab w:val="clear" w:pos="567"/>
        </w:tabs>
        <w:overflowPunct/>
        <w:autoSpaceDE/>
        <w:autoSpaceDN/>
        <w:adjustRightInd/>
        <w:ind w:left="720" w:hanging="720"/>
        <w:textAlignment w:val="auto"/>
        <w:rPr>
          <w:rFonts w:eastAsia="Calibri"/>
        </w:rPr>
      </w:pPr>
      <w:r w:rsidRPr="007C2116">
        <w:rPr>
          <w:rFonts w:eastAsia="Calibri"/>
        </w:rPr>
        <w:t>Assemblée parlementaire de l’OTAN</w:t>
      </w:r>
      <w:r w:rsidR="00E11330" w:rsidRPr="007C2116">
        <w:rPr>
          <w:rFonts w:eastAsia="Calibri"/>
        </w:rPr>
        <w:t xml:space="preserve"> (AP-OTAN)</w:t>
      </w:r>
      <w:r w:rsidRPr="007C2116">
        <w:rPr>
          <w:rFonts w:eastAsia="Calibri"/>
        </w:rPr>
        <w:t xml:space="preserve">, </w:t>
      </w:r>
      <w:hyperlink r:id="rId23" w:history="1">
        <w:r w:rsidRPr="007C2116">
          <w:rPr>
            <w:rStyle w:val="Hyperlink"/>
            <w:rFonts w:eastAsia="Calibri"/>
            <w:color w:val="auto"/>
            <w:u w:val="none"/>
          </w:rPr>
          <w:t>résolution 423</w:t>
        </w:r>
      </w:hyperlink>
      <w:r w:rsidRPr="007C2116">
        <w:rPr>
          <w:rFonts w:eastAsia="Calibri"/>
        </w:rPr>
        <w:t>, octobre 2015</w:t>
      </w:r>
    </w:p>
    <w:p w14:paraId="6D884870" w14:textId="77777777" w:rsidR="00101561" w:rsidRPr="007C2116" w:rsidRDefault="00101561" w:rsidP="00101561">
      <w:pPr>
        <w:tabs>
          <w:tab w:val="clear" w:pos="567"/>
        </w:tabs>
        <w:overflowPunct/>
        <w:autoSpaceDE/>
        <w:autoSpaceDN/>
        <w:adjustRightInd/>
        <w:ind w:left="720" w:hanging="720"/>
        <w:textAlignment w:val="auto"/>
        <w:rPr>
          <w:rFonts w:eastAsia="Calibri"/>
        </w:rPr>
      </w:pPr>
      <w:r w:rsidRPr="007C2116">
        <w:rPr>
          <w:rFonts w:eastAsia="Calibri"/>
        </w:rPr>
        <w:tab/>
      </w:r>
      <w:hyperlink r:id="rId24" w:history="1">
        <w:r w:rsidRPr="007C2116">
          <w:rPr>
            <w:rStyle w:val="Hyperlink"/>
            <w:rFonts w:eastAsia="Calibri"/>
            <w:color w:val="auto"/>
            <w:u w:val="none"/>
          </w:rPr>
          <w:t>http://www.nato-pa.int/Default.asp?SHORTCUT=3742</w:t>
        </w:r>
      </w:hyperlink>
      <w:r w:rsidRPr="007C2116">
        <w:rPr>
          <w:rFonts w:eastAsia="Calibri"/>
        </w:rPr>
        <w:t xml:space="preserve">  </w:t>
      </w:r>
    </w:p>
    <w:p w14:paraId="204FD1F2" w14:textId="41171C91"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Berls</w:t>
      </w:r>
      <w:proofErr w:type="spellEnd"/>
      <w:r w:rsidRPr="007C2116">
        <w:rPr>
          <w:rFonts w:eastAsia="Calibri"/>
          <w:lang w:val="en-US"/>
        </w:rPr>
        <w:t xml:space="preserve">, Robert E. Jr.; </w:t>
      </w:r>
      <w:proofErr w:type="spellStart"/>
      <w:r w:rsidRPr="007C2116">
        <w:rPr>
          <w:rFonts w:eastAsia="Calibri"/>
          <w:lang w:val="en-US"/>
        </w:rPr>
        <w:t>Ratz</w:t>
      </w:r>
      <w:proofErr w:type="spellEnd"/>
      <w:r w:rsidRPr="007C2116">
        <w:rPr>
          <w:rFonts w:eastAsia="Calibri"/>
          <w:lang w:val="en-US"/>
        </w:rPr>
        <w:t xml:space="preserve">, Leon, “Rising Nuclear Dangers: Assessing the Risk of Nuclear Use in the Euro-Atlantic Region,” </w:t>
      </w:r>
      <w:r w:rsidRPr="007C2116">
        <w:rPr>
          <w:rFonts w:eastAsia="Calibri"/>
          <w:i/>
          <w:lang w:val="en-US"/>
        </w:rPr>
        <w:t>Nuclear Threat Initiative</w:t>
      </w:r>
      <w:r w:rsidRPr="007C2116">
        <w:rPr>
          <w:rFonts w:eastAsia="Calibri"/>
          <w:lang w:val="en-US"/>
        </w:rPr>
        <w:t xml:space="preserve">, </w:t>
      </w:r>
      <w:proofErr w:type="spellStart"/>
      <w:r w:rsidRPr="007C2116">
        <w:rPr>
          <w:rFonts w:eastAsia="Calibri"/>
          <w:lang w:val="en-US"/>
        </w:rPr>
        <w:t>octobre</w:t>
      </w:r>
      <w:proofErr w:type="spellEnd"/>
      <w:r w:rsidRPr="007C2116">
        <w:rPr>
          <w:rFonts w:eastAsia="Calibri"/>
          <w:lang w:val="en-US"/>
        </w:rPr>
        <w:t xml:space="preserve"> 2015, </w:t>
      </w:r>
      <w:hyperlink r:id="rId25" w:history="1">
        <w:r w:rsidR="00966321" w:rsidRPr="007C2116">
          <w:rPr>
            <w:rStyle w:val="Hyperlink"/>
            <w:rFonts w:eastAsia="Calibri"/>
            <w:color w:val="auto"/>
            <w:u w:val="none"/>
            <w:lang w:val="en-US"/>
          </w:rPr>
          <w:t>http://www.nti.org/media/pdfs/NTI_Rising_Nuclear_Dangers_Paper_FINAL.pdf?_=1443443566</w:t>
        </w:r>
      </w:hyperlink>
    </w:p>
    <w:p w14:paraId="2EAFB9B3" w14:textId="3EAE9BBA" w:rsidR="00966321" w:rsidRPr="007C2116" w:rsidRDefault="00966321" w:rsidP="00966321">
      <w:pPr>
        <w:tabs>
          <w:tab w:val="clear" w:pos="567"/>
        </w:tabs>
        <w:overflowPunct/>
        <w:autoSpaceDE/>
        <w:autoSpaceDN/>
        <w:adjustRightInd/>
        <w:ind w:left="720" w:hanging="720"/>
        <w:jc w:val="left"/>
        <w:textAlignment w:val="auto"/>
        <w:rPr>
          <w:rFonts w:eastAsia="Calibri"/>
          <w:lang w:val="en-US"/>
        </w:rPr>
      </w:pPr>
      <w:r w:rsidRPr="007C2116">
        <w:rPr>
          <w:lang w:val="en-US"/>
        </w:rPr>
        <w:t>Binnie, Jeremy, "</w:t>
      </w:r>
      <w:proofErr w:type="spellStart"/>
      <w:r w:rsidRPr="007C2116">
        <w:rPr>
          <w:lang w:val="en-US"/>
        </w:rPr>
        <w:t>Iskander</w:t>
      </w:r>
      <w:proofErr w:type="spellEnd"/>
      <w:r w:rsidRPr="007C2116">
        <w:rPr>
          <w:lang w:val="en-US"/>
        </w:rPr>
        <w:t xml:space="preserve"> missile launcher spotted in Syria," </w:t>
      </w:r>
      <w:r w:rsidRPr="007C2116">
        <w:rPr>
          <w:i/>
          <w:lang w:val="en-US"/>
        </w:rPr>
        <w:t>IHS Defense Weekly</w:t>
      </w:r>
      <w:r w:rsidRPr="007C2116">
        <w:rPr>
          <w:lang w:val="en-US"/>
        </w:rPr>
        <w:t>, 31 mars 2016, http://www.janes.com/article/59182/iskander-missile-launcher-spotted-in-syria</w:t>
      </w:r>
    </w:p>
    <w:p w14:paraId="08DD1397" w14:textId="7B9BC714" w:rsidR="00966321" w:rsidRPr="007C2116" w:rsidRDefault="00966321" w:rsidP="00966321">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Braw, Elisabeth, “A Schengen Zone for NATO: Why the Alliance Needs Open Borders for Troops,” </w:t>
      </w:r>
      <w:r w:rsidRPr="007C2116">
        <w:rPr>
          <w:rFonts w:eastAsia="Calibri"/>
          <w:i/>
          <w:lang w:val="en-US"/>
        </w:rPr>
        <w:t>Foreign Affairs</w:t>
      </w:r>
      <w:r w:rsidRPr="007C2116">
        <w:rPr>
          <w:rFonts w:eastAsia="Calibri"/>
          <w:lang w:val="en-US"/>
        </w:rPr>
        <w:t xml:space="preserve">, 6 </w:t>
      </w:r>
      <w:proofErr w:type="spellStart"/>
      <w:r w:rsidRPr="007C2116">
        <w:rPr>
          <w:rFonts w:eastAsia="Calibri"/>
          <w:lang w:val="en-US"/>
        </w:rPr>
        <w:t>juin</w:t>
      </w:r>
      <w:proofErr w:type="spellEnd"/>
      <w:r w:rsidRPr="007C2116">
        <w:rPr>
          <w:rFonts w:eastAsia="Calibri"/>
          <w:lang w:val="en-US"/>
        </w:rPr>
        <w:t xml:space="preserve"> 2016.</w:t>
      </w:r>
    </w:p>
    <w:p w14:paraId="31360210"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Brzezinski, Ian, “The European Reassurance Initiative's One Year Anniversary: Mixed Results,” </w:t>
      </w:r>
      <w:r w:rsidRPr="007C2116">
        <w:rPr>
          <w:rFonts w:eastAsia="Calibri"/>
          <w:i/>
          <w:lang w:val="en-US"/>
        </w:rPr>
        <w:t>The Atlantic Council</w:t>
      </w:r>
      <w:r w:rsidRPr="007C2116">
        <w:rPr>
          <w:rFonts w:eastAsia="Calibri"/>
          <w:lang w:val="en-US"/>
        </w:rPr>
        <w:t xml:space="preserve">, 3 </w:t>
      </w:r>
      <w:proofErr w:type="spellStart"/>
      <w:r w:rsidRPr="007C2116">
        <w:rPr>
          <w:rFonts w:eastAsia="Calibri"/>
          <w:lang w:val="en-US"/>
        </w:rPr>
        <w:t>juin</w:t>
      </w:r>
      <w:proofErr w:type="spellEnd"/>
      <w:r w:rsidRPr="007C2116">
        <w:rPr>
          <w:rFonts w:eastAsia="Calibri"/>
          <w:lang w:val="en-US"/>
        </w:rPr>
        <w:t xml:space="preserve"> 2015, </w:t>
      </w:r>
      <w:hyperlink r:id="rId26" w:history="1">
        <w:r w:rsidRPr="007C2116">
          <w:rPr>
            <w:rFonts w:eastAsia="Calibri"/>
            <w:lang w:val="en-US"/>
          </w:rPr>
          <w:t>http://www.atlanticcouncil.org/blogs/natosource/the-european-reassurance-initiative-s-one-year-anniversary-mixed-results</w:t>
        </w:r>
      </w:hyperlink>
      <w:r w:rsidRPr="007C2116">
        <w:rPr>
          <w:rFonts w:eastAsia="Calibri"/>
          <w:lang w:val="en-US"/>
        </w:rPr>
        <w:t xml:space="preserve">, </w:t>
      </w:r>
      <w:proofErr w:type="spellStart"/>
      <w:r w:rsidRPr="007C2116">
        <w:rPr>
          <w:rFonts w:eastAsia="Calibri"/>
          <w:lang w:val="en-US"/>
        </w:rPr>
        <w:t>janvier</w:t>
      </w:r>
      <w:proofErr w:type="spellEnd"/>
      <w:r w:rsidRPr="007C2116">
        <w:rPr>
          <w:rFonts w:eastAsia="Calibri"/>
          <w:lang w:val="en-US"/>
        </w:rPr>
        <w:t xml:space="preserve"> 2016</w:t>
      </w:r>
    </w:p>
    <w:p w14:paraId="7FF9EEC9" w14:textId="097C994E"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Carter, Ashton, “Remarks Previewing the FY 2017 Defense Budget,” U.S. De</w:t>
      </w:r>
      <w:r w:rsidR="00E5016C">
        <w:rPr>
          <w:rFonts w:eastAsia="Calibri"/>
          <w:lang w:val="en-US"/>
        </w:rPr>
        <w:t xml:space="preserve">partment of </w:t>
      </w:r>
      <w:proofErr w:type="spellStart"/>
      <w:r w:rsidR="00E5016C">
        <w:rPr>
          <w:rFonts w:eastAsia="Calibri"/>
          <w:lang w:val="en-US"/>
        </w:rPr>
        <w:t>Defence</w:t>
      </w:r>
      <w:proofErr w:type="spellEnd"/>
      <w:r w:rsidR="00E5016C">
        <w:rPr>
          <w:rFonts w:eastAsia="Calibri"/>
          <w:lang w:val="en-US"/>
        </w:rPr>
        <w:t xml:space="preserve">, 2 </w:t>
      </w:r>
      <w:proofErr w:type="spellStart"/>
      <w:r w:rsidR="00E5016C">
        <w:rPr>
          <w:rFonts w:eastAsia="Calibri"/>
          <w:lang w:val="en-US"/>
        </w:rPr>
        <w:t>février</w:t>
      </w:r>
      <w:proofErr w:type="spellEnd"/>
      <w:r w:rsidRPr="007C2116">
        <w:rPr>
          <w:rFonts w:eastAsia="Calibri"/>
          <w:lang w:val="en-US"/>
        </w:rPr>
        <w:t xml:space="preserve"> 2016, http://www.defense.gov/News/Speeches/Speech-View/Article/648466/remarks-previewing-the-fy-2017-defense-budget</w:t>
      </w:r>
    </w:p>
    <w:p w14:paraId="324A8018"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Chollet</w:t>
      </w:r>
      <w:proofErr w:type="spellEnd"/>
      <w:r w:rsidRPr="007C2116">
        <w:rPr>
          <w:rFonts w:eastAsia="Calibri"/>
          <w:lang w:val="en-US"/>
        </w:rPr>
        <w:t xml:space="preserve">, Derek, “After Ukraine, NATO’s Chance for a New Normal,” Defense One, 18 </w:t>
      </w:r>
      <w:proofErr w:type="spellStart"/>
      <w:r w:rsidRPr="007C2116">
        <w:rPr>
          <w:rFonts w:eastAsia="Calibri"/>
          <w:lang w:val="en-US"/>
        </w:rPr>
        <w:t>juin</w:t>
      </w:r>
      <w:proofErr w:type="spellEnd"/>
      <w:r w:rsidRPr="007C2116">
        <w:rPr>
          <w:rFonts w:eastAsia="Calibri"/>
          <w:lang w:val="en-US"/>
        </w:rPr>
        <w:t xml:space="preserve"> 2015, </w:t>
      </w:r>
      <w:hyperlink r:id="rId27" w:history="1">
        <w:r w:rsidRPr="007C2116">
          <w:rPr>
            <w:rFonts w:eastAsia="Calibri"/>
            <w:lang w:val="en-US"/>
          </w:rPr>
          <w:t>http://www.defenseone.com/ideas/2015/06/natos-leaders-have-chance-create-new-normal/115753/</w:t>
        </w:r>
      </w:hyperlink>
    </w:p>
    <w:p w14:paraId="21CAE5BD" w14:textId="17F93565" w:rsidR="00966321" w:rsidRPr="007C2116" w:rsidRDefault="00966321" w:rsidP="002F7548">
      <w:pPr>
        <w:tabs>
          <w:tab w:val="clear" w:pos="567"/>
        </w:tabs>
        <w:overflowPunct/>
        <w:autoSpaceDE/>
        <w:autoSpaceDN/>
        <w:adjustRightInd/>
        <w:ind w:left="720" w:hanging="720"/>
        <w:jc w:val="left"/>
        <w:textAlignment w:val="auto"/>
        <w:rPr>
          <w:rFonts w:eastAsia="Calibri"/>
          <w:lang w:val="en-US"/>
        </w:rPr>
      </w:pPr>
      <w:r w:rsidRPr="007C2116">
        <w:rPr>
          <w:lang w:val="en-US"/>
        </w:rPr>
        <w:t xml:space="preserve">Coffey, Luke; </w:t>
      </w:r>
      <w:proofErr w:type="spellStart"/>
      <w:r w:rsidRPr="007C2116">
        <w:rPr>
          <w:lang w:val="en-US"/>
        </w:rPr>
        <w:t>Kochis</w:t>
      </w:r>
      <w:proofErr w:type="spellEnd"/>
      <w:r w:rsidRPr="007C2116">
        <w:rPr>
          <w:lang w:val="en-US"/>
        </w:rPr>
        <w:t xml:space="preserve">, Daniel, "NATO Summit 2016: Time for an Arctic Strategy," The Heritage Foundation, 16 </w:t>
      </w:r>
      <w:proofErr w:type="spellStart"/>
      <w:r w:rsidRPr="007C2116">
        <w:rPr>
          <w:lang w:val="en-US"/>
        </w:rPr>
        <w:t>juin</w:t>
      </w:r>
      <w:proofErr w:type="spellEnd"/>
      <w:r w:rsidRPr="007C2116">
        <w:rPr>
          <w:lang w:val="en-US"/>
        </w:rPr>
        <w:t xml:space="preserve"> 2016, http://www.heritage.org/research/reports/2016/06/nato-summit-2016-time-for-an-arctic-strategy</w:t>
      </w:r>
    </w:p>
    <w:p w14:paraId="6F20E1EC"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Conley, Heather A.; Hicks, Kathleen H., “Evaluating Future U.S. Army Force Posture in Europe,” </w:t>
      </w:r>
      <w:r w:rsidRPr="007C2116">
        <w:rPr>
          <w:rFonts w:eastAsia="Calibri"/>
          <w:i/>
          <w:lang w:val="en-US"/>
        </w:rPr>
        <w:t>Center for Strategic and International Studies</w:t>
      </w:r>
      <w:r w:rsidRPr="007C2116">
        <w:rPr>
          <w:rFonts w:eastAsia="Calibri"/>
          <w:lang w:val="en-US"/>
        </w:rPr>
        <w:t xml:space="preserve">, Phase I Report, </w:t>
      </w:r>
      <w:proofErr w:type="spellStart"/>
      <w:r w:rsidRPr="007C2116">
        <w:rPr>
          <w:rFonts w:eastAsia="Calibri"/>
          <w:lang w:val="en-US"/>
        </w:rPr>
        <w:t>février</w:t>
      </w:r>
      <w:proofErr w:type="spellEnd"/>
      <w:r w:rsidRPr="007C2116">
        <w:rPr>
          <w:rFonts w:eastAsia="Calibri"/>
          <w:lang w:val="en-US"/>
        </w:rPr>
        <w:t xml:space="preserve"> 2016</w:t>
      </w:r>
    </w:p>
    <w:p w14:paraId="5B880654" w14:textId="77777777" w:rsidR="002F7548" w:rsidRPr="007C2116" w:rsidRDefault="002F7548" w:rsidP="002F7548">
      <w:pPr>
        <w:tabs>
          <w:tab w:val="clear" w:pos="567"/>
        </w:tabs>
        <w:overflowPunct/>
        <w:autoSpaceDE/>
        <w:autoSpaceDN/>
        <w:adjustRightInd/>
        <w:ind w:left="720" w:hanging="720"/>
        <w:jc w:val="left"/>
        <w:textAlignment w:val="auto"/>
        <w:rPr>
          <w:rFonts w:eastAsia="Calibri"/>
        </w:rPr>
      </w:pPr>
      <w:r w:rsidRPr="007C2116">
        <w:rPr>
          <w:rFonts w:eastAsia="Calibri"/>
          <w:lang w:val="en-US"/>
        </w:rPr>
        <w:t xml:space="preserve">Daalder, Ivo, “What the Libya Operation Teaches Us about NATO,” Speech to the University of Maryland, School of Public Policy, 28 </w:t>
      </w:r>
      <w:proofErr w:type="spellStart"/>
      <w:r w:rsidRPr="007C2116">
        <w:rPr>
          <w:rFonts w:eastAsia="Calibri"/>
          <w:lang w:val="en-US"/>
        </w:rPr>
        <w:t>février</w:t>
      </w:r>
      <w:proofErr w:type="spellEnd"/>
      <w:r w:rsidRPr="007C2116">
        <w:rPr>
          <w:rFonts w:eastAsia="Calibri"/>
          <w:lang w:val="en-US"/>
        </w:rPr>
        <w:t xml:space="preserve"> 2012. </w:t>
      </w:r>
      <w:hyperlink r:id="rId28" w:history="1">
        <w:r w:rsidRPr="007C2116">
          <w:rPr>
            <w:rFonts w:eastAsia="Calibri"/>
          </w:rPr>
          <w:t>www.nato.usmission.gov/ambassador-speeches/what-the-libya-operation-teaches-us-about-nato.html</w:t>
        </w:r>
      </w:hyperlink>
      <w:r w:rsidRPr="007C2116">
        <w:rPr>
          <w:rFonts w:eastAsia="Calibri"/>
        </w:rPr>
        <w:t xml:space="preserve">. </w:t>
      </w:r>
    </w:p>
    <w:p w14:paraId="4E823344" w14:textId="4CD4FDE1" w:rsidR="00966321" w:rsidRPr="007C2116" w:rsidRDefault="00966321" w:rsidP="002F7548">
      <w:pPr>
        <w:tabs>
          <w:tab w:val="clear" w:pos="567"/>
        </w:tabs>
        <w:overflowPunct/>
        <w:autoSpaceDE/>
        <w:autoSpaceDN/>
        <w:adjustRightInd/>
        <w:ind w:left="720" w:hanging="720"/>
        <w:jc w:val="left"/>
        <w:textAlignment w:val="auto"/>
        <w:rPr>
          <w:rFonts w:eastAsia="Calibri"/>
          <w:lang w:val="en-US"/>
        </w:rPr>
      </w:pPr>
      <w:r w:rsidRPr="007C2116">
        <w:rPr>
          <w:lang w:val="en-US"/>
        </w:rPr>
        <w:t xml:space="preserve">Ernst, Douglas, "U.S. cedes Arctic to Russia: ‘We’re not even in the same league’ says Coast Guard Chief," </w:t>
      </w:r>
      <w:r w:rsidRPr="007C2116">
        <w:rPr>
          <w:i/>
          <w:lang w:val="en-US"/>
        </w:rPr>
        <w:t>The Washington Times</w:t>
      </w:r>
      <w:r w:rsidRPr="007C2116">
        <w:rPr>
          <w:lang w:val="en-US"/>
        </w:rPr>
        <w:t xml:space="preserve">, 8 </w:t>
      </w:r>
      <w:proofErr w:type="spellStart"/>
      <w:r w:rsidRPr="007C2116">
        <w:rPr>
          <w:lang w:val="en-US"/>
        </w:rPr>
        <w:t>juillet</w:t>
      </w:r>
      <w:proofErr w:type="spellEnd"/>
      <w:r w:rsidRPr="007C2116">
        <w:rPr>
          <w:lang w:val="en-US"/>
        </w:rPr>
        <w:t xml:space="preserve"> 2015 http://www.washingtontimes.com/news/2015/jul/8/us-cedes-arctic-russia-were-not-even-same-league-s/?utm_source=RSS_Feed&amp;utm_medium=RSS</w:t>
      </w:r>
    </w:p>
    <w:p w14:paraId="0C67BE6D" w14:textId="2467008A"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Farley</w:t>
      </w:r>
      <w:r w:rsidR="00966321" w:rsidRPr="007C2116">
        <w:rPr>
          <w:rFonts w:eastAsia="Calibri"/>
          <w:lang w:val="en-US"/>
        </w:rPr>
        <w:t xml:space="preserve"> Robert</w:t>
      </w:r>
      <w:r w:rsidRPr="007C2116">
        <w:rPr>
          <w:rFonts w:eastAsia="Calibri"/>
          <w:lang w:val="en-US"/>
        </w:rPr>
        <w:t xml:space="preserve">, “Five Russian Weapons of War NATO Should Fear,” </w:t>
      </w:r>
      <w:r w:rsidRPr="007C2116">
        <w:rPr>
          <w:rFonts w:eastAsia="Calibri"/>
          <w:i/>
          <w:lang w:val="en-US"/>
        </w:rPr>
        <w:t>The National Interest</w:t>
      </w:r>
      <w:r w:rsidRPr="007C2116">
        <w:rPr>
          <w:rFonts w:eastAsia="Calibri"/>
          <w:lang w:val="en-US"/>
        </w:rPr>
        <w:t>, 6 </w:t>
      </w:r>
      <w:proofErr w:type="spellStart"/>
      <w:r w:rsidRPr="007C2116">
        <w:rPr>
          <w:rFonts w:eastAsia="Calibri"/>
          <w:lang w:val="en-US"/>
        </w:rPr>
        <w:t>juillet</w:t>
      </w:r>
      <w:proofErr w:type="spellEnd"/>
      <w:r w:rsidRPr="007C2116">
        <w:rPr>
          <w:rFonts w:eastAsia="Calibri"/>
          <w:lang w:val="en-US"/>
        </w:rPr>
        <w:t xml:space="preserve"> 2014, </w:t>
      </w:r>
      <w:hyperlink r:id="rId29" w:history="1">
        <w:r w:rsidR="001C08FD" w:rsidRPr="007C2116">
          <w:rPr>
            <w:rStyle w:val="Hyperlink"/>
            <w:rFonts w:eastAsia="Calibri"/>
            <w:color w:val="auto"/>
            <w:u w:val="none"/>
            <w:lang w:val="en-US"/>
          </w:rPr>
          <w:t>http://nationalinterest.org/feature/five-russian-weapons-war-nato-should-fear-10816</w:t>
        </w:r>
      </w:hyperlink>
    </w:p>
    <w:p w14:paraId="0C979473" w14:textId="55623F40" w:rsidR="001C08FD" w:rsidRPr="007C2116" w:rsidRDefault="001C08FD"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Felgenhauer</w:t>
      </w:r>
      <w:proofErr w:type="spellEnd"/>
      <w:r w:rsidRPr="007C2116">
        <w:rPr>
          <w:rFonts w:eastAsia="Calibri"/>
          <w:lang w:val="en-US"/>
        </w:rPr>
        <w:t xml:space="preserve">, Pavel, "INF Treaty Increasingly in Danger, as Russia Balks at New Missile Defense Base in Romania," The Jamestown Foundation, 12 </w:t>
      </w:r>
      <w:proofErr w:type="spellStart"/>
      <w:r w:rsidRPr="007C2116">
        <w:rPr>
          <w:rFonts w:eastAsia="Calibri"/>
          <w:lang w:val="en-US"/>
        </w:rPr>
        <w:t>mai</w:t>
      </w:r>
      <w:proofErr w:type="spellEnd"/>
      <w:r w:rsidRPr="007C2116">
        <w:rPr>
          <w:rFonts w:eastAsia="Calibri"/>
          <w:lang w:val="en-US"/>
        </w:rPr>
        <w:t xml:space="preserve"> 2016, http://www.jamestown.org/programs/edm/single/?tx_ttnews%5Btt_news%5D=45425&amp;cHash=f2fa422df24e6280052164e410467a72#.V6S2KI7vMdU</w:t>
      </w:r>
    </w:p>
    <w:p w14:paraId="03012362" w14:textId="77777777" w:rsidR="002F7548" w:rsidRPr="007C2116" w:rsidRDefault="002F7548" w:rsidP="002F7548">
      <w:pPr>
        <w:tabs>
          <w:tab w:val="clear" w:pos="567"/>
        </w:tabs>
        <w:overflowPunct/>
        <w:autoSpaceDE/>
        <w:autoSpaceDN/>
        <w:adjustRightInd/>
        <w:jc w:val="left"/>
        <w:textAlignment w:val="auto"/>
        <w:rPr>
          <w:rFonts w:eastAsia="Calibri"/>
          <w:i/>
          <w:lang w:val="en-US"/>
        </w:rPr>
      </w:pPr>
      <w:r w:rsidRPr="007C2116">
        <w:rPr>
          <w:rFonts w:eastAsia="Calibri"/>
          <w:lang w:val="en-US"/>
        </w:rPr>
        <w:t xml:space="preserve">Ferdinando, Lisa, “Breedlove: Russia, Instability Threaten U.S., European Interests,” </w:t>
      </w:r>
      <w:r w:rsidRPr="007C2116">
        <w:rPr>
          <w:rFonts w:eastAsia="Calibri"/>
          <w:i/>
          <w:lang w:val="en-US"/>
        </w:rPr>
        <w:t>DoD</w:t>
      </w:r>
      <w:r w:rsidRPr="007C2116">
        <w:rPr>
          <w:rFonts w:eastAsia="Calibri"/>
          <w:i/>
          <w:lang w:val="en-US"/>
        </w:rPr>
        <w:tab/>
        <w:t xml:space="preserve">News, Defense Media Activity </w:t>
      </w:r>
      <w:r w:rsidRPr="007C2116">
        <w:rPr>
          <w:rFonts w:eastAsia="Calibri"/>
          <w:lang w:val="en-US"/>
        </w:rPr>
        <w:t xml:space="preserve">(U.S. Department of Defense), 25 </w:t>
      </w:r>
      <w:proofErr w:type="spellStart"/>
      <w:r w:rsidRPr="007C2116">
        <w:rPr>
          <w:rFonts w:eastAsia="Calibri"/>
          <w:lang w:val="en-US"/>
        </w:rPr>
        <w:t>février</w:t>
      </w:r>
      <w:proofErr w:type="spellEnd"/>
      <w:r w:rsidRPr="007C2116">
        <w:rPr>
          <w:rFonts w:eastAsia="Calibri"/>
          <w:lang w:val="en-US"/>
        </w:rPr>
        <w:t xml:space="preserve"> 2016</w:t>
      </w:r>
    </w:p>
    <w:p w14:paraId="5DB71A86"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Flockhart, Trine, “Preparing for NATO’s Warsaw Summit: The Challenges of Adapting to Strategic Change,” Danish Institute of International Studies, </w:t>
      </w:r>
      <w:proofErr w:type="spellStart"/>
      <w:r w:rsidRPr="007C2116">
        <w:rPr>
          <w:rFonts w:eastAsia="Calibri"/>
          <w:lang w:val="en-US"/>
        </w:rPr>
        <w:t>décembre</w:t>
      </w:r>
      <w:proofErr w:type="spellEnd"/>
      <w:r w:rsidRPr="007C2116">
        <w:rPr>
          <w:rFonts w:eastAsia="Calibri"/>
          <w:lang w:val="en-US"/>
        </w:rPr>
        <w:t xml:space="preserve"> 2015, http://pure.diis.dk/ws/files/368155/DIIS_RP_2015_16_WEB.pdf</w:t>
      </w:r>
    </w:p>
    <w:p w14:paraId="5481822A" w14:textId="218B8DEF"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Franko, Blake, Nicholas </w:t>
      </w:r>
      <w:proofErr w:type="spellStart"/>
      <w:r w:rsidRPr="007C2116">
        <w:rPr>
          <w:rFonts w:eastAsia="Calibri"/>
          <w:lang w:val="en-US"/>
        </w:rPr>
        <w:t>Varagis</w:t>
      </w:r>
      <w:proofErr w:type="spellEnd"/>
      <w:r w:rsidRPr="007C2116">
        <w:rPr>
          <w:rFonts w:eastAsia="Calibri"/>
          <w:lang w:val="en-US"/>
        </w:rPr>
        <w:t xml:space="preserve">, “Russia's Armata T-14 Tank: A Super </w:t>
      </w:r>
      <w:proofErr w:type="gramStart"/>
      <w:r w:rsidRPr="007C2116">
        <w:rPr>
          <w:rFonts w:eastAsia="Calibri"/>
          <w:lang w:val="en-US"/>
        </w:rPr>
        <w:t>Weapon?,</w:t>
      </w:r>
      <w:proofErr w:type="gramEnd"/>
      <w:r w:rsidRPr="007C2116">
        <w:rPr>
          <w:rFonts w:eastAsia="Calibri"/>
          <w:lang w:val="en-US"/>
        </w:rPr>
        <w:t xml:space="preserve">” </w:t>
      </w:r>
      <w:r w:rsidRPr="007C2116">
        <w:rPr>
          <w:rFonts w:eastAsia="Calibri"/>
          <w:i/>
          <w:lang w:val="en-US"/>
        </w:rPr>
        <w:t>The National Interest</w:t>
      </w:r>
      <w:r w:rsidRPr="007C2116">
        <w:rPr>
          <w:rFonts w:eastAsia="Calibri"/>
          <w:lang w:val="en-US"/>
        </w:rPr>
        <w:t xml:space="preserve">, 11 </w:t>
      </w:r>
      <w:proofErr w:type="spellStart"/>
      <w:r w:rsidR="00E5016C">
        <w:rPr>
          <w:rFonts w:eastAsia="Calibri"/>
          <w:lang w:val="en-US"/>
        </w:rPr>
        <w:t>mai</w:t>
      </w:r>
      <w:proofErr w:type="spellEnd"/>
      <w:r w:rsidRPr="007C2116">
        <w:rPr>
          <w:rFonts w:eastAsia="Calibri"/>
          <w:lang w:val="en-US"/>
        </w:rPr>
        <w:t xml:space="preserve"> 2015, http://nationalinterest.org/blog/russias-armata-t-14-tank-super-weapon-12861</w:t>
      </w:r>
    </w:p>
    <w:p w14:paraId="076B5CED" w14:textId="77777777" w:rsidR="002F7548" w:rsidRPr="007C2116" w:rsidRDefault="002F7548" w:rsidP="002F7548">
      <w:pPr>
        <w:tabs>
          <w:tab w:val="clear" w:pos="567"/>
        </w:tabs>
        <w:overflowPunct/>
        <w:autoSpaceDE/>
        <w:autoSpaceDN/>
        <w:adjustRightInd/>
        <w:jc w:val="left"/>
        <w:textAlignment w:val="auto"/>
        <w:rPr>
          <w:rFonts w:eastAsia="Calibri"/>
          <w:lang w:val="en-US"/>
        </w:rPr>
      </w:pPr>
      <w:proofErr w:type="spellStart"/>
      <w:r w:rsidRPr="007C2116">
        <w:rPr>
          <w:rFonts w:eastAsia="Calibri"/>
          <w:lang w:val="en-US"/>
        </w:rPr>
        <w:t>Frear</w:t>
      </w:r>
      <w:proofErr w:type="spellEnd"/>
      <w:r w:rsidRPr="007C2116">
        <w:rPr>
          <w:rFonts w:eastAsia="Calibri"/>
          <w:lang w:val="en-US"/>
        </w:rPr>
        <w:t xml:space="preserve">, Thomas; </w:t>
      </w:r>
      <w:proofErr w:type="spellStart"/>
      <w:r w:rsidRPr="007C2116">
        <w:rPr>
          <w:rFonts w:eastAsia="Calibri"/>
          <w:lang w:val="en-US"/>
        </w:rPr>
        <w:t>Kulesa</w:t>
      </w:r>
      <w:proofErr w:type="spellEnd"/>
      <w:r w:rsidRPr="007C2116">
        <w:rPr>
          <w:rFonts w:eastAsia="Calibri"/>
          <w:lang w:val="en-US"/>
        </w:rPr>
        <w:t>, Lukasz; Kearns, Ian, “Dangerous Brinkmanship: Close Military</w:t>
      </w:r>
      <w:r w:rsidRPr="007C2116">
        <w:rPr>
          <w:rFonts w:eastAsia="Calibri"/>
          <w:lang w:val="en-US"/>
        </w:rPr>
        <w:tab/>
        <w:t xml:space="preserve">Encounters Between Russia and the West in 2014,” </w:t>
      </w:r>
      <w:r w:rsidRPr="007C2116">
        <w:rPr>
          <w:rFonts w:eastAsia="Calibri"/>
          <w:i/>
          <w:lang w:val="en-US"/>
        </w:rPr>
        <w:t>European Leadership Network</w:t>
      </w:r>
      <w:r w:rsidRPr="007C2116">
        <w:rPr>
          <w:rFonts w:eastAsia="Calibri"/>
          <w:lang w:val="en-US"/>
        </w:rPr>
        <w:t>,</w:t>
      </w:r>
      <w:r w:rsidRPr="007C2116">
        <w:rPr>
          <w:rFonts w:eastAsia="Calibri"/>
          <w:lang w:val="en-US"/>
        </w:rPr>
        <w:tab/>
      </w:r>
      <w:proofErr w:type="spellStart"/>
      <w:r w:rsidRPr="007C2116">
        <w:rPr>
          <w:rFonts w:eastAsia="Calibri"/>
          <w:lang w:val="en-US"/>
        </w:rPr>
        <w:t>novembre</w:t>
      </w:r>
      <w:proofErr w:type="spellEnd"/>
      <w:r w:rsidRPr="007C2116">
        <w:rPr>
          <w:rFonts w:eastAsia="Calibri"/>
          <w:lang w:val="en-US"/>
        </w:rPr>
        <w:t xml:space="preserve"> 2014</w:t>
      </w:r>
    </w:p>
    <w:p w14:paraId="3CD8B781"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Glatz, Rainer; </w:t>
      </w:r>
      <w:proofErr w:type="spellStart"/>
      <w:r w:rsidRPr="007C2116">
        <w:rPr>
          <w:rFonts w:eastAsia="Calibri"/>
          <w:lang w:val="en-US"/>
        </w:rPr>
        <w:t>Zapfe</w:t>
      </w:r>
      <w:proofErr w:type="spellEnd"/>
      <w:r w:rsidRPr="007C2116">
        <w:rPr>
          <w:rFonts w:eastAsia="Calibri"/>
          <w:lang w:val="en-US"/>
        </w:rPr>
        <w:t xml:space="preserve">, Martin, “NATO </w:t>
      </w:r>
      <w:proofErr w:type="spellStart"/>
      <w:r w:rsidRPr="007C2116">
        <w:rPr>
          <w:rFonts w:eastAsia="Calibri"/>
          <w:lang w:val="en-US"/>
        </w:rPr>
        <w:t>Defence</w:t>
      </w:r>
      <w:proofErr w:type="spellEnd"/>
      <w:r w:rsidRPr="007C2116">
        <w:rPr>
          <w:rFonts w:eastAsia="Calibri"/>
          <w:lang w:val="en-US"/>
        </w:rPr>
        <w:t xml:space="preserve"> Planning between Wales and Warsaw,” </w:t>
      </w:r>
      <w:proofErr w:type="spellStart"/>
      <w:r w:rsidRPr="007C2116">
        <w:rPr>
          <w:rFonts w:eastAsia="Calibri"/>
          <w:i/>
          <w:lang w:val="en-US"/>
        </w:rPr>
        <w:t>Stiftung</w:t>
      </w:r>
      <w:proofErr w:type="spellEnd"/>
      <w:r w:rsidRPr="007C2116">
        <w:rPr>
          <w:rFonts w:eastAsia="Calibri"/>
          <w:i/>
          <w:lang w:val="en-US"/>
        </w:rPr>
        <w:t xml:space="preserve"> </w:t>
      </w:r>
      <w:proofErr w:type="spellStart"/>
      <w:r w:rsidRPr="007C2116">
        <w:rPr>
          <w:rFonts w:eastAsia="Calibri"/>
          <w:i/>
          <w:lang w:val="en-US"/>
        </w:rPr>
        <w:t>Wissenschaft</w:t>
      </w:r>
      <w:proofErr w:type="spellEnd"/>
      <w:r w:rsidRPr="007C2116">
        <w:rPr>
          <w:rFonts w:eastAsia="Calibri"/>
          <w:i/>
          <w:lang w:val="en-US"/>
        </w:rPr>
        <w:t xml:space="preserve"> und </w:t>
      </w:r>
      <w:proofErr w:type="spellStart"/>
      <w:r w:rsidRPr="007C2116">
        <w:rPr>
          <w:rFonts w:eastAsia="Calibri"/>
          <w:i/>
          <w:lang w:val="en-US"/>
        </w:rPr>
        <w:t>Politik</w:t>
      </w:r>
      <w:proofErr w:type="spellEnd"/>
      <w:r w:rsidRPr="007C2116">
        <w:rPr>
          <w:rFonts w:eastAsia="Calibri"/>
          <w:lang w:val="en-US"/>
        </w:rPr>
        <w:t xml:space="preserve">, </w:t>
      </w:r>
      <w:proofErr w:type="spellStart"/>
      <w:r w:rsidRPr="007C2116">
        <w:rPr>
          <w:rFonts w:eastAsia="Calibri"/>
          <w:lang w:val="en-US"/>
        </w:rPr>
        <w:t>janvier</w:t>
      </w:r>
      <w:proofErr w:type="spellEnd"/>
      <w:r w:rsidRPr="007C2116">
        <w:rPr>
          <w:rFonts w:eastAsia="Calibri"/>
          <w:lang w:val="en-US"/>
        </w:rPr>
        <w:t xml:space="preserve"> 2016</w:t>
      </w:r>
    </w:p>
    <w:p w14:paraId="12FFDF59" w14:textId="5BE28631" w:rsidR="001C08FD" w:rsidRPr="007C2116" w:rsidRDefault="001C08FD"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lang w:val="en-US"/>
        </w:rPr>
        <w:t>Gotkowska</w:t>
      </w:r>
      <w:proofErr w:type="spellEnd"/>
      <w:r w:rsidRPr="007C2116">
        <w:rPr>
          <w:lang w:val="en-US"/>
        </w:rPr>
        <w:t>, Justyna, "NATO’s Eastern Flank — a new paradigm," Centre for</w:t>
      </w:r>
      <w:r w:rsidR="00E5016C">
        <w:rPr>
          <w:lang w:val="en-US"/>
        </w:rPr>
        <w:t xml:space="preserve"> Eastern Studies, 13 </w:t>
      </w:r>
      <w:proofErr w:type="spellStart"/>
      <w:r w:rsidRPr="007C2116">
        <w:rPr>
          <w:lang w:val="en-US"/>
        </w:rPr>
        <w:t>juillet</w:t>
      </w:r>
      <w:proofErr w:type="spellEnd"/>
      <w:r w:rsidRPr="007C2116">
        <w:rPr>
          <w:lang w:val="en-US"/>
        </w:rPr>
        <w:t xml:space="preserve"> 2016, http://www.osw.waw.pl/en/publikacje/analyses/2016-07-13/natos-eastern-flank-a-new-paradigm</w:t>
      </w:r>
    </w:p>
    <w:p w14:paraId="6104ADAC" w14:textId="62A6E2DF"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International Institute for Strategic Studies</w:t>
      </w:r>
      <w:r w:rsidR="00F96463" w:rsidRPr="007C2116">
        <w:rPr>
          <w:rFonts w:eastAsia="Calibri"/>
          <w:lang w:val="en-US"/>
        </w:rPr>
        <w:t xml:space="preserve"> (</w:t>
      </w:r>
      <w:proofErr w:type="spellStart"/>
      <w:r w:rsidR="00F96463" w:rsidRPr="007C2116">
        <w:rPr>
          <w:rFonts w:eastAsia="Calibri"/>
          <w:lang w:val="en-US"/>
        </w:rPr>
        <w:t>Institut</w:t>
      </w:r>
      <w:proofErr w:type="spellEnd"/>
      <w:r w:rsidR="00F96463" w:rsidRPr="007C2116">
        <w:rPr>
          <w:rFonts w:eastAsia="Calibri"/>
          <w:lang w:val="en-US"/>
        </w:rPr>
        <w:t xml:space="preserve"> international </w:t>
      </w:r>
      <w:proofErr w:type="spellStart"/>
      <w:r w:rsidR="00F96463" w:rsidRPr="007C2116">
        <w:rPr>
          <w:rFonts w:eastAsia="Calibri"/>
          <w:lang w:val="en-US"/>
        </w:rPr>
        <w:t>d’études</w:t>
      </w:r>
      <w:proofErr w:type="spellEnd"/>
      <w:r w:rsidR="00F96463" w:rsidRPr="007C2116">
        <w:rPr>
          <w:rFonts w:eastAsia="Calibri"/>
          <w:lang w:val="en-US"/>
        </w:rPr>
        <w:t xml:space="preserve"> </w:t>
      </w:r>
      <w:proofErr w:type="spellStart"/>
      <w:r w:rsidR="00F96463" w:rsidRPr="007C2116">
        <w:rPr>
          <w:rFonts w:eastAsia="Calibri"/>
          <w:lang w:val="en-US"/>
        </w:rPr>
        <w:t>stratégiques</w:t>
      </w:r>
      <w:proofErr w:type="spellEnd"/>
      <w:r w:rsidR="00F96463" w:rsidRPr="007C2116">
        <w:rPr>
          <w:rFonts w:eastAsia="Calibri"/>
          <w:lang w:val="en-US"/>
        </w:rPr>
        <w:t>)</w:t>
      </w:r>
      <w:r w:rsidRPr="007C2116">
        <w:rPr>
          <w:rFonts w:eastAsia="Calibri"/>
          <w:lang w:val="en-US"/>
        </w:rPr>
        <w:t xml:space="preserve">, “The Military Balance 2016,” Chapter 5: Russia and Eurasia, </w:t>
      </w:r>
      <w:proofErr w:type="spellStart"/>
      <w:r w:rsidRPr="007C2116">
        <w:rPr>
          <w:rFonts w:eastAsia="Calibri"/>
          <w:lang w:val="en-US"/>
        </w:rPr>
        <w:t>février</w:t>
      </w:r>
      <w:proofErr w:type="spellEnd"/>
      <w:r w:rsidRPr="007C2116">
        <w:rPr>
          <w:rFonts w:eastAsia="Calibri"/>
          <w:lang w:val="en-US"/>
        </w:rPr>
        <w:t xml:space="preserve"> 2016</w:t>
      </w:r>
    </w:p>
    <w:p w14:paraId="360A538C" w14:textId="7E4C9018" w:rsidR="001C08FD" w:rsidRPr="007C2116" w:rsidRDefault="001C08FD" w:rsidP="001C08FD">
      <w:pPr>
        <w:tabs>
          <w:tab w:val="clear" w:pos="567"/>
        </w:tabs>
        <w:overflowPunct/>
        <w:autoSpaceDE/>
        <w:autoSpaceDN/>
        <w:adjustRightInd/>
        <w:ind w:left="720" w:hanging="720"/>
        <w:jc w:val="left"/>
        <w:textAlignment w:val="auto"/>
        <w:rPr>
          <w:rFonts w:eastAsia="Calibri"/>
          <w:lang w:val="en-US"/>
        </w:rPr>
      </w:pPr>
      <w:r w:rsidRPr="007C2116">
        <w:rPr>
          <w:lang w:val="en-US"/>
        </w:rPr>
        <w:t xml:space="preserve">Jones, Sam, "Estonia Calls for Patriot shield to deter Russia in Baltic region," </w:t>
      </w:r>
      <w:r w:rsidRPr="007C2116">
        <w:rPr>
          <w:i/>
          <w:lang w:val="en-US"/>
        </w:rPr>
        <w:t>Financial Times</w:t>
      </w:r>
      <w:r w:rsidR="00E5016C">
        <w:rPr>
          <w:lang w:val="en-US"/>
        </w:rPr>
        <w:t>, 26 </w:t>
      </w:r>
      <w:proofErr w:type="spellStart"/>
      <w:r w:rsidRPr="007C2116">
        <w:rPr>
          <w:lang w:val="en-US"/>
        </w:rPr>
        <w:t>mai</w:t>
      </w:r>
      <w:proofErr w:type="spellEnd"/>
      <w:r w:rsidRPr="007C2116">
        <w:rPr>
          <w:lang w:val="en-US"/>
        </w:rPr>
        <w:t xml:space="preserve"> 2016, http://www.ft.com/cms/s/0/b9453544-228c-11e6-9d4dc11776a5124d.html?siteedition=intl#axzz4IEalJ3c8</w:t>
      </w:r>
    </w:p>
    <w:p w14:paraId="4533F627" w14:textId="6DC53B59" w:rsidR="001C08FD" w:rsidRPr="007C2116" w:rsidRDefault="001C08FD" w:rsidP="001C08FD">
      <w:pPr>
        <w:tabs>
          <w:tab w:val="clear" w:pos="567"/>
        </w:tabs>
        <w:overflowPunct/>
        <w:autoSpaceDE/>
        <w:autoSpaceDN/>
        <w:adjustRightInd/>
        <w:ind w:left="720" w:hanging="720"/>
        <w:jc w:val="left"/>
        <w:textAlignment w:val="auto"/>
        <w:rPr>
          <w:rFonts w:eastAsia="Calibri"/>
          <w:lang w:val="en-US"/>
        </w:rPr>
      </w:pPr>
      <w:proofErr w:type="spellStart"/>
      <w:r w:rsidRPr="007C2116">
        <w:rPr>
          <w:lang w:val="en-US"/>
        </w:rPr>
        <w:t>Kacprzyk</w:t>
      </w:r>
      <w:proofErr w:type="spellEnd"/>
      <w:r w:rsidRPr="007C2116">
        <w:rPr>
          <w:lang w:val="en-US"/>
        </w:rPr>
        <w:t xml:space="preserve">, Artur, "Conventional Deterrence on NATO’s Eastern Flank after the Warsaw Summit," The Polish Institute of International Affairs, 3 </w:t>
      </w:r>
      <w:proofErr w:type="spellStart"/>
      <w:r w:rsidRPr="007C2116">
        <w:rPr>
          <w:lang w:val="en-US"/>
        </w:rPr>
        <w:t>août</w:t>
      </w:r>
      <w:proofErr w:type="spellEnd"/>
      <w:r w:rsidRPr="007C2116">
        <w:rPr>
          <w:lang w:val="en-US"/>
        </w:rPr>
        <w:t xml:space="preserve"> 2016, http://www.pism.pl/publications/bulletin/no-48-898</w:t>
      </w:r>
    </w:p>
    <w:p w14:paraId="794DBAF5" w14:textId="2DD56B09" w:rsidR="001C08FD" w:rsidRPr="007C2116" w:rsidRDefault="001C08FD" w:rsidP="001C08FD">
      <w:pPr>
        <w:tabs>
          <w:tab w:val="clear" w:pos="567"/>
        </w:tabs>
        <w:overflowPunct/>
        <w:autoSpaceDE/>
        <w:autoSpaceDN/>
        <w:adjustRightInd/>
        <w:ind w:left="720" w:hanging="720"/>
        <w:jc w:val="left"/>
        <w:textAlignment w:val="auto"/>
        <w:rPr>
          <w:rFonts w:eastAsia="Calibri"/>
          <w:lang w:val="en-US"/>
        </w:rPr>
      </w:pPr>
      <w:proofErr w:type="spellStart"/>
      <w:r w:rsidRPr="007C2116">
        <w:rPr>
          <w:lang w:val="en-US"/>
        </w:rPr>
        <w:t>Kendry</w:t>
      </w:r>
      <w:proofErr w:type="spellEnd"/>
      <w:r w:rsidRPr="007C2116">
        <w:rPr>
          <w:lang w:val="en-US"/>
        </w:rPr>
        <w:t xml:space="preserve">, Adrian Philip, “NATO </w:t>
      </w:r>
      <w:proofErr w:type="spellStart"/>
      <w:r w:rsidRPr="007C2116">
        <w:rPr>
          <w:lang w:val="en-US"/>
        </w:rPr>
        <w:t>defence</w:t>
      </w:r>
      <w:proofErr w:type="spellEnd"/>
      <w:r w:rsidRPr="007C2116">
        <w:rPr>
          <w:lang w:val="en-US"/>
        </w:rPr>
        <w:t xml:space="preserve"> spending and the Warsaw Summit—will Brexit have an effect?” International Institute for Strategic Studies, 8 </w:t>
      </w:r>
      <w:proofErr w:type="spellStart"/>
      <w:r w:rsidRPr="007C2116">
        <w:rPr>
          <w:lang w:val="en-US"/>
        </w:rPr>
        <w:t>juillet</w:t>
      </w:r>
      <w:proofErr w:type="spellEnd"/>
      <w:r w:rsidRPr="007C2116">
        <w:rPr>
          <w:lang w:val="en-US"/>
        </w:rPr>
        <w:t xml:space="preserve"> 2016, http://www.iiss.org/en/topics/brexit/nato-defence-spending-and-the-warsaw-summit---will-there-be-a-brexit-effect-940d</w:t>
      </w:r>
    </w:p>
    <w:p w14:paraId="0B878936"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Klein, Margarete, “Russia’s Military: On the </w:t>
      </w:r>
      <w:proofErr w:type="gramStart"/>
      <w:r w:rsidRPr="007C2116">
        <w:rPr>
          <w:rFonts w:eastAsia="Calibri"/>
          <w:lang w:val="en-US"/>
        </w:rPr>
        <w:t>Rise?,</w:t>
      </w:r>
      <w:proofErr w:type="gramEnd"/>
      <w:r w:rsidRPr="007C2116">
        <w:rPr>
          <w:rFonts w:eastAsia="Calibri"/>
          <w:i/>
          <w:lang w:val="en-US"/>
        </w:rPr>
        <w:t>” Transatlantic Academy Paper Series</w:t>
      </w:r>
      <w:r w:rsidRPr="007C2116">
        <w:rPr>
          <w:rFonts w:eastAsia="Calibri"/>
          <w:lang w:val="en-US"/>
        </w:rPr>
        <w:t>, mars 2016</w:t>
      </w:r>
    </w:p>
    <w:p w14:paraId="69A79B68" w14:textId="7CBDF4BF"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Kowalik</w:t>
      </w:r>
      <w:proofErr w:type="spellEnd"/>
      <w:r w:rsidRPr="007C2116">
        <w:rPr>
          <w:rFonts w:eastAsia="Calibri"/>
          <w:lang w:val="en-US"/>
        </w:rPr>
        <w:t xml:space="preserve">, Tomasz, “NATO on the Right Path from Assurance to Deterrence,” </w:t>
      </w:r>
      <w:r w:rsidRPr="007C2116">
        <w:rPr>
          <w:rFonts w:eastAsia="Calibri"/>
          <w:i/>
          <w:lang w:val="en-US"/>
        </w:rPr>
        <w:t>The German Marsha</w:t>
      </w:r>
      <w:r w:rsidR="007C2116">
        <w:rPr>
          <w:rFonts w:eastAsia="Calibri"/>
          <w:i/>
          <w:lang w:val="en-US"/>
        </w:rPr>
        <w:t>l</w:t>
      </w:r>
      <w:r w:rsidRPr="007C2116">
        <w:rPr>
          <w:rFonts w:eastAsia="Calibri"/>
          <w:i/>
          <w:lang w:val="en-US"/>
        </w:rPr>
        <w:t>l Fund of the United States</w:t>
      </w:r>
      <w:r w:rsidRPr="007C2116">
        <w:rPr>
          <w:rFonts w:eastAsia="Calibri"/>
          <w:lang w:val="en-US"/>
        </w:rPr>
        <w:t xml:space="preserve">, 15 </w:t>
      </w:r>
      <w:proofErr w:type="spellStart"/>
      <w:r w:rsidRPr="007C2116">
        <w:rPr>
          <w:rFonts w:eastAsia="Calibri"/>
          <w:lang w:val="en-US"/>
        </w:rPr>
        <w:t>décembre</w:t>
      </w:r>
      <w:proofErr w:type="spellEnd"/>
      <w:r w:rsidRPr="007C2116">
        <w:rPr>
          <w:rFonts w:eastAsia="Calibri"/>
          <w:lang w:val="en-US"/>
        </w:rPr>
        <w:t xml:space="preserve"> 2015</w:t>
      </w:r>
    </w:p>
    <w:p w14:paraId="40FAA559" w14:textId="2D50C67D" w:rsidR="001C08FD" w:rsidRPr="007C2116" w:rsidRDefault="001C08FD" w:rsidP="002F7548">
      <w:pPr>
        <w:tabs>
          <w:tab w:val="clear" w:pos="567"/>
        </w:tabs>
        <w:overflowPunct/>
        <w:autoSpaceDE/>
        <w:autoSpaceDN/>
        <w:adjustRightInd/>
        <w:ind w:left="720" w:hanging="720"/>
        <w:jc w:val="left"/>
        <w:textAlignment w:val="auto"/>
        <w:rPr>
          <w:rFonts w:eastAsia="Calibri"/>
          <w:lang w:val="en-US"/>
        </w:rPr>
      </w:pPr>
      <w:r w:rsidRPr="007C2116">
        <w:rPr>
          <w:lang w:val="en-US"/>
        </w:rPr>
        <w:t>Krishna, Rahul, "Inching Closer: The Impact of Sweden’s Growing Relationship wi</w:t>
      </w:r>
      <w:r w:rsidR="007C2116">
        <w:rPr>
          <w:lang w:val="en-US"/>
        </w:rPr>
        <w:t xml:space="preserve">th NATO," Atlantic Council, 22 </w:t>
      </w:r>
      <w:proofErr w:type="spellStart"/>
      <w:r w:rsidR="007C2116">
        <w:rPr>
          <w:lang w:val="en-US"/>
        </w:rPr>
        <w:t>août</w:t>
      </w:r>
      <w:proofErr w:type="spellEnd"/>
      <w:r w:rsidRPr="007C2116">
        <w:rPr>
          <w:lang w:val="en-US"/>
        </w:rPr>
        <w:t xml:space="preserve"> 2016, http://www.atlanticcouncil.org/blogs/natosource/inching-closer-the-impact-of-sweden-s-growing-relationship-with-nato</w:t>
      </w:r>
    </w:p>
    <w:p w14:paraId="5E01C6DC" w14:textId="494968F8"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Kozin</w:t>
      </w:r>
      <w:proofErr w:type="spellEnd"/>
      <w:r w:rsidRPr="007C2116">
        <w:rPr>
          <w:rFonts w:eastAsia="Calibri"/>
          <w:lang w:val="en-US"/>
        </w:rPr>
        <w:t>, Vladimir P., “</w:t>
      </w:r>
      <w:proofErr w:type="spellStart"/>
      <w:r w:rsidRPr="007C2116">
        <w:rPr>
          <w:rFonts w:eastAsia="Calibri"/>
          <w:lang w:val="en-US"/>
        </w:rPr>
        <w:t>Roossyiskoe</w:t>
      </w:r>
      <w:proofErr w:type="spellEnd"/>
      <w:r w:rsidRPr="007C2116">
        <w:rPr>
          <w:rFonts w:eastAsia="Calibri"/>
          <w:lang w:val="en-US"/>
        </w:rPr>
        <w:t xml:space="preserve"> </w:t>
      </w:r>
      <w:proofErr w:type="spellStart"/>
      <w:r w:rsidRPr="007C2116">
        <w:rPr>
          <w:rFonts w:eastAsia="Calibri"/>
          <w:lang w:val="en-US"/>
        </w:rPr>
        <w:t>yadernoe</w:t>
      </w:r>
      <w:proofErr w:type="spellEnd"/>
      <w:r w:rsidRPr="007C2116">
        <w:rPr>
          <w:rFonts w:eastAsia="Calibri"/>
          <w:lang w:val="en-US"/>
        </w:rPr>
        <w:t xml:space="preserve"> </w:t>
      </w:r>
      <w:proofErr w:type="spellStart"/>
      <w:r w:rsidRPr="007C2116">
        <w:rPr>
          <w:rFonts w:eastAsia="Calibri"/>
          <w:lang w:val="en-US"/>
        </w:rPr>
        <w:t>oruzhie</w:t>
      </w:r>
      <w:proofErr w:type="spellEnd"/>
      <w:r w:rsidRPr="007C2116">
        <w:rPr>
          <w:rFonts w:eastAsia="Calibri"/>
          <w:lang w:val="en-US"/>
        </w:rPr>
        <w:t xml:space="preserve"> </w:t>
      </w:r>
      <w:proofErr w:type="spellStart"/>
      <w:r w:rsidRPr="007C2116">
        <w:rPr>
          <w:rFonts w:eastAsia="Calibri"/>
          <w:lang w:val="en-US"/>
        </w:rPr>
        <w:t>priblizhaetsia</w:t>
      </w:r>
      <w:proofErr w:type="spellEnd"/>
      <w:r w:rsidRPr="007C2116">
        <w:rPr>
          <w:rFonts w:eastAsia="Calibri"/>
          <w:lang w:val="en-US"/>
        </w:rPr>
        <w:t xml:space="preserve"> k NATO,” </w:t>
      </w:r>
      <w:proofErr w:type="spellStart"/>
      <w:r w:rsidRPr="007C2116">
        <w:rPr>
          <w:rFonts w:eastAsia="Calibri"/>
          <w:i/>
          <w:lang w:val="en-US"/>
        </w:rPr>
        <w:t>Nezavisimaya</w:t>
      </w:r>
      <w:proofErr w:type="spellEnd"/>
      <w:r w:rsidRPr="007C2116">
        <w:rPr>
          <w:rFonts w:eastAsia="Calibri"/>
          <w:i/>
          <w:lang w:val="en-US"/>
        </w:rPr>
        <w:t xml:space="preserve"> Gazeta</w:t>
      </w:r>
      <w:r w:rsidRPr="007C2116">
        <w:rPr>
          <w:rFonts w:eastAsia="Calibri"/>
          <w:lang w:val="en-US"/>
        </w:rPr>
        <w:t xml:space="preserve">, 12 </w:t>
      </w:r>
      <w:proofErr w:type="spellStart"/>
      <w:r w:rsidR="00E5016C">
        <w:rPr>
          <w:rFonts w:eastAsia="Calibri"/>
          <w:lang w:val="en-US"/>
        </w:rPr>
        <w:t>décembre</w:t>
      </w:r>
      <w:proofErr w:type="spellEnd"/>
      <w:r w:rsidRPr="007C2116">
        <w:rPr>
          <w:rFonts w:eastAsia="Calibri"/>
          <w:lang w:val="en-US"/>
        </w:rPr>
        <w:t xml:space="preserve"> 2014, http://www.ng.ru/armies/2014-12-17/1_iskander.html</w:t>
      </w:r>
    </w:p>
    <w:p w14:paraId="0536DD36"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Kubiak, </w:t>
      </w:r>
      <w:proofErr w:type="spellStart"/>
      <w:r w:rsidRPr="007C2116">
        <w:rPr>
          <w:rFonts w:eastAsia="Calibri"/>
          <w:lang w:val="en-US"/>
        </w:rPr>
        <w:t>Katarzyna</w:t>
      </w:r>
      <w:proofErr w:type="spellEnd"/>
      <w:r w:rsidRPr="007C2116">
        <w:rPr>
          <w:rFonts w:eastAsia="Calibri"/>
          <w:lang w:val="en-US"/>
        </w:rPr>
        <w:t xml:space="preserve">; Meier, Oliver, “Updating NATO’s nuclear posture: Necessary? Feasible? </w:t>
      </w:r>
      <w:proofErr w:type="gramStart"/>
      <w:r w:rsidRPr="007C2116">
        <w:rPr>
          <w:rFonts w:eastAsia="Calibri"/>
          <w:lang w:val="en-US"/>
        </w:rPr>
        <w:t>Desirable?,</w:t>
      </w:r>
      <w:proofErr w:type="gramEnd"/>
      <w:r w:rsidRPr="007C2116">
        <w:rPr>
          <w:rFonts w:eastAsia="Calibri"/>
          <w:lang w:val="en-US"/>
        </w:rPr>
        <w:t xml:space="preserve">” </w:t>
      </w:r>
      <w:r w:rsidRPr="007C2116">
        <w:rPr>
          <w:rFonts w:eastAsia="Calibri"/>
          <w:i/>
          <w:lang w:val="en-US"/>
        </w:rPr>
        <w:t>European Leadership Network</w:t>
      </w:r>
      <w:r w:rsidRPr="007C2116">
        <w:rPr>
          <w:rFonts w:eastAsia="Calibri"/>
          <w:lang w:val="en-US"/>
        </w:rPr>
        <w:t xml:space="preserve">, 15 </w:t>
      </w:r>
      <w:proofErr w:type="spellStart"/>
      <w:r w:rsidRPr="007C2116">
        <w:rPr>
          <w:rFonts w:eastAsia="Calibri"/>
          <w:lang w:val="en-US"/>
        </w:rPr>
        <w:t>janvier</w:t>
      </w:r>
      <w:proofErr w:type="spellEnd"/>
      <w:r w:rsidRPr="007C2116">
        <w:rPr>
          <w:rFonts w:eastAsia="Calibri"/>
          <w:lang w:val="en-US"/>
        </w:rPr>
        <w:t xml:space="preserve"> 2016, http://www.europeanleadershipnetwork.org/updating-natos-nuclear-posture-necessary-feasible-desirable_3312.html</w:t>
      </w:r>
    </w:p>
    <w:p w14:paraId="24D11AB0"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Larsen, Jeffrey A., “Time to Face Reality: Priorities for NATO’s 2016 Warsaw Summit,” NATO </w:t>
      </w:r>
      <w:r w:rsidRPr="007C2116">
        <w:rPr>
          <w:rFonts w:eastAsia="Calibri"/>
          <w:i/>
          <w:lang w:val="en-US"/>
        </w:rPr>
        <w:t>Defense College</w:t>
      </w:r>
      <w:r w:rsidRPr="007C2116">
        <w:rPr>
          <w:rFonts w:eastAsia="Calibri"/>
          <w:lang w:val="en-US"/>
        </w:rPr>
        <w:t xml:space="preserve">, </w:t>
      </w:r>
      <w:proofErr w:type="spellStart"/>
      <w:r w:rsidRPr="007C2116">
        <w:rPr>
          <w:rFonts w:eastAsia="Calibri"/>
          <w:lang w:val="en-US"/>
        </w:rPr>
        <w:t>janvier</w:t>
      </w:r>
      <w:proofErr w:type="spellEnd"/>
      <w:r w:rsidRPr="007C2116">
        <w:rPr>
          <w:rFonts w:eastAsia="Calibri"/>
          <w:lang w:val="en-US"/>
        </w:rPr>
        <w:t xml:space="preserve"> 2016</w:t>
      </w:r>
    </w:p>
    <w:p w14:paraId="04F9A304"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Lewis, James A., “The Role of Offensive Cyber Operations in NATO’s Collective </w:t>
      </w:r>
      <w:proofErr w:type="spellStart"/>
      <w:r w:rsidRPr="007C2116">
        <w:rPr>
          <w:rFonts w:eastAsia="Calibri"/>
          <w:lang w:val="en-US"/>
        </w:rPr>
        <w:t>Defence</w:t>
      </w:r>
      <w:proofErr w:type="spellEnd"/>
      <w:r w:rsidRPr="007C2116">
        <w:rPr>
          <w:rFonts w:eastAsia="Calibri"/>
          <w:lang w:val="en-US"/>
        </w:rPr>
        <w:t xml:space="preserve">,” </w:t>
      </w:r>
      <w:r w:rsidRPr="007C2116">
        <w:rPr>
          <w:rFonts w:eastAsia="Calibri"/>
          <w:i/>
          <w:lang w:val="en-US"/>
        </w:rPr>
        <w:t>Tallinn Paper</w:t>
      </w:r>
      <w:r w:rsidRPr="007C2116">
        <w:rPr>
          <w:rFonts w:eastAsia="Calibri"/>
          <w:lang w:val="en-US"/>
        </w:rPr>
        <w:t xml:space="preserve">, NATO Cooperative Cyber Centre of Excellence, 2 </w:t>
      </w:r>
      <w:proofErr w:type="spellStart"/>
      <w:r w:rsidRPr="007C2116">
        <w:rPr>
          <w:rFonts w:eastAsia="Calibri"/>
          <w:lang w:val="en-US"/>
        </w:rPr>
        <w:t>avril</w:t>
      </w:r>
      <w:proofErr w:type="spellEnd"/>
      <w:r w:rsidRPr="007C2116">
        <w:rPr>
          <w:rFonts w:eastAsia="Calibri"/>
          <w:lang w:val="en-US"/>
        </w:rPr>
        <w:t xml:space="preserve"> 2015</w:t>
      </w:r>
    </w:p>
    <w:p w14:paraId="77EF7218"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Lubold</w:t>
      </w:r>
      <w:proofErr w:type="spellEnd"/>
      <w:r w:rsidRPr="007C2116">
        <w:rPr>
          <w:rFonts w:eastAsia="Calibri"/>
          <w:lang w:val="en-US"/>
        </w:rPr>
        <w:t xml:space="preserve">, Gordon; Barnes, Julian E. “Pentagon Readies More Robust U.S. Military Presence in Eastern Europe,” </w:t>
      </w:r>
      <w:r w:rsidRPr="007C2116">
        <w:rPr>
          <w:rFonts w:eastAsia="Calibri"/>
          <w:i/>
          <w:lang w:val="en-US"/>
        </w:rPr>
        <w:t>Wall Street Journal</w:t>
      </w:r>
      <w:r w:rsidRPr="007C2116">
        <w:rPr>
          <w:rFonts w:eastAsia="Calibri"/>
          <w:lang w:val="en-US"/>
        </w:rPr>
        <w:t>, 30 mars 2016</w:t>
      </w:r>
    </w:p>
    <w:p w14:paraId="31F7CA18" w14:textId="33EFD530" w:rsidR="001C08FD" w:rsidRPr="007C2116" w:rsidRDefault="001C08FD" w:rsidP="001C08FD">
      <w:pPr>
        <w:tabs>
          <w:tab w:val="clear" w:pos="567"/>
        </w:tabs>
        <w:overflowPunct/>
        <w:autoSpaceDE/>
        <w:autoSpaceDN/>
        <w:adjustRightInd/>
        <w:ind w:left="720" w:hanging="720"/>
        <w:jc w:val="left"/>
        <w:textAlignment w:val="auto"/>
        <w:rPr>
          <w:lang w:val="en-US"/>
        </w:rPr>
      </w:pPr>
      <w:proofErr w:type="spellStart"/>
      <w:r w:rsidRPr="007C2116">
        <w:rPr>
          <w:lang w:val="en-US"/>
        </w:rPr>
        <w:t>Majumbar</w:t>
      </w:r>
      <w:proofErr w:type="spellEnd"/>
      <w:r w:rsidRPr="007C2116">
        <w:rPr>
          <w:lang w:val="en-US"/>
        </w:rPr>
        <w:t xml:space="preserve">(a), Dave, "Biggest Threat US Navy and NATO face: Russian Subs and A2/AD Bastions," </w:t>
      </w:r>
      <w:r w:rsidRPr="007C2116">
        <w:rPr>
          <w:i/>
          <w:lang w:val="en-US"/>
        </w:rPr>
        <w:t>The National Interest</w:t>
      </w:r>
      <w:r w:rsidRPr="007C2116">
        <w:rPr>
          <w:lang w:val="en-US"/>
        </w:rPr>
        <w:t xml:space="preserve">, 30 </w:t>
      </w:r>
      <w:proofErr w:type="spellStart"/>
      <w:r w:rsidRPr="007C2116">
        <w:rPr>
          <w:lang w:val="en-US"/>
        </w:rPr>
        <w:t>juin</w:t>
      </w:r>
      <w:proofErr w:type="spellEnd"/>
      <w:r w:rsidRPr="007C2116">
        <w:rPr>
          <w:lang w:val="en-US"/>
        </w:rPr>
        <w:t xml:space="preserve"> 2016, </w:t>
      </w:r>
      <w:hyperlink r:id="rId30" w:history="1">
        <w:r w:rsidRPr="007C2116">
          <w:rPr>
            <w:rStyle w:val="Hyperlink"/>
            <w:color w:val="auto"/>
            <w:u w:val="none"/>
            <w:lang w:val="en-US"/>
          </w:rPr>
          <w:t>http://nationalinterest.org/print/blog/the-buzz/biggest-threat-us-navy-nato-face-russian-subs-a2-ad-bastions-16808</w:t>
        </w:r>
      </w:hyperlink>
    </w:p>
    <w:p w14:paraId="0A10CE0C" w14:textId="2B5D4AD0" w:rsidR="001C08FD" w:rsidRPr="007C2116" w:rsidRDefault="001C08FD" w:rsidP="001C08FD">
      <w:pPr>
        <w:tabs>
          <w:tab w:val="clear" w:pos="567"/>
        </w:tabs>
        <w:overflowPunct/>
        <w:autoSpaceDE/>
        <w:autoSpaceDN/>
        <w:adjustRightInd/>
        <w:ind w:left="720" w:hanging="720"/>
        <w:jc w:val="left"/>
        <w:textAlignment w:val="auto"/>
        <w:rPr>
          <w:lang w:val="en-US"/>
        </w:rPr>
      </w:pPr>
      <w:proofErr w:type="spellStart"/>
      <w:r w:rsidRPr="007C2116">
        <w:rPr>
          <w:lang w:val="en-US"/>
        </w:rPr>
        <w:t>Majumbar</w:t>
      </w:r>
      <w:proofErr w:type="spellEnd"/>
      <w:r w:rsidRPr="007C2116">
        <w:rPr>
          <w:lang w:val="en-US"/>
        </w:rPr>
        <w:t xml:space="preserve">(b), Dave, "U.S. Air Force Fears Russia’s Lethal S-400 in Europe," </w:t>
      </w:r>
      <w:r w:rsidRPr="007C2116">
        <w:rPr>
          <w:i/>
          <w:lang w:val="en-US"/>
        </w:rPr>
        <w:t>The National Interest</w:t>
      </w:r>
      <w:r w:rsidRPr="007C2116">
        <w:rPr>
          <w:lang w:val="en-US"/>
        </w:rPr>
        <w:t xml:space="preserve">, 12 </w:t>
      </w:r>
      <w:proofErr w:type="spellStart"/>
      <w:r w:rsidRPr="007C2116">
        <w:rPr>
          <w:lang w:val="en-US"/>
        </w:rPr>
        <w:t>janvier</w:t>
      </w:r>
      <w:proofErr w:type="spellEnd"/>
      <w:r w:rsidRPr="007C2116">
        <w:rPr>
          <w:lang w:val="en-US"/>
        </w:rPr>
        <w:t xml:space="preserve"> 2016, </w:t>
      </w:r>
      <w:hyperlink r:id="rId31" w:history="1">
        <w:r w:rsidRPr="007C2116">
          <w:rPr>
            <w:rStyle w:val="Hyperlink"/>
            <w:color w:val="auto"/>
            <w:u w:val="none"/>
            <w:lang w:val="en-US"/>
          </w:rPr>
          <w:t>http://nationalinterest.org/print/blog/the-buzz/us-air-force-fears-russias-s-400-europe-14883</w:t>
        </w:r>
      </w:hyperlink>
    </w:p>
    <w:p w14:paraId="019E4ECF" w14:textId="24F8693F" w:rsidR="001C08FD" w:rsidRPr="007C2116" w:rsidRDefault="001C08FD" w:rsidP="001C08FD">
      <w:pPr>
        <w:tabs>
          <w:tab w:val="clear" w:pos="567"/>
        </w:tabs>
        <w:overflowPunct/>
        <w:autoSpaceDE/>
        <w:autoSpaceDN/>
        <w:adjustRightInd/>
        <w:ind w:left="720" w:hanging="720"/>
        <w:jc w:val="left"/>
        <w:textAlignment w:val="auto"/>
        <w:rPr>
          <w:rFonts w:eastAsia="Calibri"/>
          <w:lang w:val="en-US"/>
        </w:rPr>
      </w:pPr>
      <w:proofErr w:type="spellStart"/>
      <w:r w:rsidRPr="007C2116">
        <w:rPr>
          <w:lang w:val="en-US"/>
        </w:rPr>
        <w:t>Manea</w:t>
      </w:r>
      <w:proofErr w:type="spellEnd"/>
      <w:r w:rsidRPr="007C2116">
        <w:rPr>
          <w:lang w:val="en-US"/>
        </w:rPr>
        <w:t xml:space="preserve">, Octavian; </w:t>
      </w:r>
      <w:proofErr w:type="spellStart"/>
      <w:r w:rsidRPr="007C2116">
        <w:rPr>
          <w:lang w:val="en-US"/>
        </w:rPr>
        <w:t>Visan</w:t>
      </w:r>
      <w:proofErr w:type="spellEnd"/>
      <w:r w:rsidRPr="007C2116">
        <w:rPr>
          <w:lang w:val="en-US"/>
        </w:rPr>
        <w:t xml:space="preserve">, George, "Crimea’s Transformation </w:t>
      </w:r>
      <w:proofErr w:type="gramStart"/>
      <w:r w:rsidRPr="007C2116">
        <w:rPr>
          <w:lang w:val="en-US"/>
        </w:rPr>
        <w:t>Into</w:t>
      </w:r>
      <w:proofErr w:type="gramEnd"/>
      <w:r w:rsidRPr="007C2116">
        <w:rPr>
          <w:lang w:val="en-US"/>
        </w:rPr>
        <w:t xml:space="preserve"> An Access-Denial Base," Romania Energy Center, 14 </w:t>
      </w:r>
      <w:proofErr w:type="spellStart"/>
      <w:r w:rsidRPr="007C2116">
        <w:rPr>
          <w:lang w:val="en-US"/>
        </w:rPr>
        <w:t>juillet</w:t>
      </w:r>
      <w:proofErr w:type="spellEnd"/>
      <w:r w:rsidRPr="007C2116">
        <w:rPr>
          <w:lang w:val="en-US"/>
        </w:rPr>
        <w:t xml:space="preserve"> 2015, http://www.roec.biz/bsad/portfolio-item/crimeas-transformation-into-an-access-denial-base/</w:t>
      </w:r>
    </w:p>
    <w:p w14:paraId="37F8F1EA" w14:textId="4BFC0661"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Meier, Oliver, “Germany and the Role of Nuclear Weapons: Between Prohibition and Revival,” </w:t>
      </w:r>
      <w:r w:rsidRPr="007C2116">
        <w:rPr>
          <w:rFonts w:eastAsia="Calibri"/>
          <w:i/>
          <w:lang w:val="en-US"/>
        </w:rPr>
        <w:t>German Institute for International and Security Studies</w:t>
      </w:r>
      <w:r w:rsidRPr="007C2116">
        <w:rPr>
          <w:rFonts w:eastAsia="Calibri"/>
          <w:lang w:val="en-US"/>
        </w:rPr>
        <w:t xml:space="preserve">, </w:t>
      </w:r>
      <w:proofErr w:type="spellStart"/>
      <w:r w:rsidR="00E5016C">
        <w:rPr>
          <w:rFonts w:eastAsia="Calibri"/>
          <w:lang w:val="en-US"/>
        </w:rPr>
        <w:t>janvier</w:t>
      </w:r>
      <w:proofErr w:type="spellEnd"/>
      <w:r w:rsidRPr="007C2116">
        <w:rPr>
          <w:rFonts w:eastAsia="Calibri"/>
          <w:lang w:val="en-US"/>
        </w:rPr>
        <w:t xml:space="preserve"> 2016, https://www.swp-berlin.org/fileadmin/contents/products/comments/2016C02_mro.pdf</w:t>
      </w:r>
    </w:p>
    <w:p w14:paraId="646566C3" w14:textId="426A60D0"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Ministry of </w:t>
      </w:r>
      <w:proofErr w:type="spellStart"/>
      <w:r w:rsidRPr="007C2116">
        <w:rPr>
          <w:rFonts w:eastAsia="Calibri"/>
          <w:lang w:val="en-US"/>
        </w:rPr>
        <w:t>Defence</w:t>
      </w:r>
      <w:proofErr w:type="spellEnd"/>
      <w:r w:rsidRPr="007C2116">
        <w:rPr>
          <w:rFonts w:eastAsia="Calibri"/>
          <w:lang w:val="en-US"/>
        </w:rPr>
        <w:t xml:space="preserve"> of the Russian Federation, “V </w:t>
      </w:r>
      <w:proofErr w:type="spellStart"/>
      <w:r w:rsidRPr="007C2116">
        <w:rPr>
          <w:rFonts w:eastAsia="Calibri"/>
          <w:lang w:val="en-US"/>
        </w:rPr>
        <w:t>Zapadnom</w:t>
      </w:r>
      <w:proofErr w:type="spellEnd"/>
      <w:r w:rsidRPr="007C2116">
        <w:rPr>
          <w:rFonts w:eastAsia="Calibri"/>
          <w:lang w:val="en-US"/>
        </w:rPr>
        <w:t xml:space="preserve"> </w:t>
      </w:r>
      <w:proofErr w:type="spellStart"/>
      <w:r w:rsidRPr="007C2116">
        <w:rPr>
          <w:rFonts w:eastAsia="Calibri"/>
          <w:lang w:val="en-US"/>
        </w:rPr>
        <w:t>voennom</w:t>
      </w:r>
      <w:proofErr w:type="spellEnd"/>
      <w:r w:rsidRPr="007C2116">
        <w:rPr>
          <w:rFonts w:eastAsia="Calibri"/>
          <w:lang w:val="en-US"/>
        </w:rPr>
        <w:t xml:space="preserve"> </w:t>
      </w:r>
      <w:proofErr w:type="spellStart"/>
      <w:r w:rsidRPr="007C2116">
        <w:rPr>
          <w:rFonts w:eastAsia="Calibri"/>
          <w:lang w:val="en-US"/>
        </w:rPr>
        <w:t>okruge</w:t>
      </w:r>
      <w:proofErr w:type="spellEnd"/>
      <w:r w:rsidRPr="007C2116">
        <w:rPr>
          <w:rFonts w:eastAsia="Calibri"/>
          <w:lang w:val="en-US"/>
        </w:rPr>
        <w:t xml:space="preserve"> </w:t>
      </w:r>
      <w:proofErr w:type="spellStart"/>
      <w:r w:rsidRPr="007C2116">
        <w:rPr>
          <w:rFonts w:eastAsia="Calibri"/>
          <w:lang w:val="en-US"/>
        </w:rPr>
        <w:t>vozrozhdena</w:t>
      </w:r>
      <w:proofErr w:type="spellEnd"/>
      <w:r w:rsidRPr="007C2116">
        <w:rPr>
          <w:rFonts w:eastAsia="Calibri"/>
          <w:lang w:val="en-US"/>
        </w:rPr>
        <w:t xml:space="preserve"> </w:t>
      </w:r>
      <w:proofErr w:type="spellStart"/>
      <w:r w:rsidRPr="007C2116">
        <w:rPr>
          <w:rFonts w:eastAsia="Calibri"/>
          <w:lang w:val="en-US"/>
        </w:rPr>
        <w:t>legendarnaya</w:t>
      </w:r>
      <w:proofErr w:type="spellEnd"/>
      <w:r w:rsidRPr="007C2116">
        <w:rPr>
          <w:rFonts w:eastAsia="Calibri"/>
          <w:lang w:val="en-US"/>
        </w:rPr>
        <w:t xml:space="preserve"> 1-ya </w:t>
      </w:r>
      <w:proofErr w:type="spellStart"/>
      <w:r w:rsidRPr="007C2116">
        <w:rPr>
          <w:rFonts w:eastAsia="Calibri"/>
          <w:lang w:val="en-US"/>
        </w:rPr>
        <w:t>gvardeiskaya</w:t>
      </w:r>
      <w:proofErr w:type="spellEnd"/>
      <w:r w:rsidRPr="007C2116">
        <w:rPr>
          <w:rFonts w:eastAsia="Calibri"/>
          <w:lang w:val="en-US"/>
        </w:rPr>
        <w:t xml:space="preserve"> </w:t>
      </w:r>
      <w:proofErr w:type="spellStart"/>
      <w:r w:rsidRPr="007C2116">
        <w:rPr>
          <w:rFonts w:eastAsia="Calibri"/>
          <w:lang w:val="en-US"/>
        </w:rPr>
        <w:t>tankvaya</w:t>
      </w:r>
      <w:proofErr w:type="spellEnd"/>
      <w:r w:rsidRPr="007C2116">
        <w:rPr>
          <w:rFonts w:eastAsia="Calibri"/>
          <w:lang w:val="en-US"/>
        </w:rPr>
        <w:t xml:space="preserve"> </w:t>
      </w:r>
      <w:proofErr w:type="spellStart"/>
      <w:r w:rsidRPr="007C2116">
        <w:rPr>
          <w:rFonts w:eastAsia="Calibri"/>
          <w:lang w:val="en-US"/>
        </w:rPr>
        <w:t>armya</w:t>
      </w:r>
      <w:proofErr w:type="spellEnd"/>
      <w:r w:rsidRPr="007C2116">
        <w:rPr>
          <w:rFonts w:eastAsia="Calibri"/>
          <w:lang w:val="en-US"/>
        </w:rPr>
        <w:t xml:space="preserve">,” 2 </w:t>
      </w:r>
      <w:proofErr w:type="spellStart"/>
      <w:r w:rsidRPr="007C2116">
        <w:rPr>
          <w:rFonts w:eastAsia="Calibri"/>
          <w:lang w:val="en-US"/>
        </w:rPr>
        <w:t>février</w:t>
      </w:r>
      <w:proofErr w:type="spellEnd"/>
      <w:r w:rsidRPr="007C2116">
        <w:rPr>
          <w:rFonts w:eastAsia="Calibri"/>
          <w:lang w:val="en-US"/>
        </w:rPr>
        <w:t xml:space="preserve"> 2015, </w:t>
      </w:r>
      <w:hyperlink r:id="rId32" w:history="1">
        <w:r w:rsidR="001C08FD" w:rsidRPr="007C2116">
          <w:rPr>
            <w:rStyle w:val="Hyperlink"/>
            <w:rFonts w:eastAsia="Calibri"/>
            <w:color w:val="auto"/>
            <w:u w:val="none"/>
            <w:lang w:val="en-US"/>
          </w:rPr>
          <w:t>http://function.mil.ru/news_page/country/more.htm?id=12076048@egNews</w:t>
        </w:r>
      </w:hyperlink>
    </w:p>
    <w:p w14:paraId="5E9B7AD0" w14:textId="100BC0FB" w:rsidR="001C08FD" w:rsidRPr="007C2116" w:rsidRDefault="001C08FD" w:rsidP="001C08FD">
      <w:pPr>
        <w:tabs>
          <w:tab w:val="clear" w:pos="567"/>
        </w:tabs>
        <w:overflowPunct/>
        <w:autoSpaceDE/>
        <w:autoSpaceDN/>
        <w:adjustRightInd/>
        <w:ind w:left="720" w:hanging="720"/>
        <w:jc w:val="left"/>
        <w:textAlignment w:val="auto"/>
        <w:rPr>
          <w:lang w:val="en-US"/>
        </w:rPr>
      </w:pPr>
      <w:r w:rsidRPr="007C2116">
        <w:rPr>
          <w:rFonts w:eastAsia="Calibri"/>
          <w:lang w:val="en-US"/>
        </w:rPr>
        <w:t xml:space="preserve">Ministry of </w:t>
      </w:r>
      <w:proofErr w:type="spellStart"/>
      <w:r w:rsidRPr="007C2116">
        <w:rPr>
          <w:rFonts w:eastAsia="Calibri"/>
          <w:lang w:val="en-US"/>
        </w:rPr>
        <w:t>Defence</w:t>
      </w:r>
      <w:proofErr w:type="spellEnd"/>
      <w:r w:rsidRPr="007C2116">
        <w:rPr>
          <w:rFonts w:eastAsia="Calibri"/>
          <w:lang w:val="en-US"/>
        </w:rPr>
        <w:t xml:space="preserve"> of the Republic of Estonia, </w:t>
      </w:r>
      <w:r w:rsidRPr="007C2116">
        <w:rPr>
          <w:lang w:val="en-US"/>
        </w:rPr>
        <w:t xml:space="preserve">"NATO investing in the development of Estonian cyber range," 14 </w:t>
      </w:r>
      <w:proofErr w:type="spellStart"/>
      <w:r w:rsidRPr="007C2116">
        <w:rPr>
          <w:lang w:val="en-US"/>
        </w:rPr>
        <w:t>juin</w:t>
      </w:r>
      <w:proofErr w:type="spellEnd"/>
      <w:r w:rsidRPr="007C2116">
        <w:rPr>
          <w:lang w:val="en-US"/>
        </w:rPr>
        <w:t xml:space="preserve"> 2016, </w:t>
      </w:r>
      <w:hyperlink r:id="rId33" w:history="1">
        <w:r w:rsidRPr="007C2116">
          <w:rPr>
            <w:rStyle w:val="Hyperlink"/>
            <w:color w:val="auto"/>
            <w:u w:val="none"/>
            <w:lang w:val="en-US"/>
          </w:rPr>
          <w:t>http://www.kmin.ee/en/news/nato-investing-development-estonian-cyber-range</w:t>
        </w:r>
      </w:hyperlink>
    </w:p>
    <w:p w14:paraId="68EA6156" w14:textId="6F54B4B6" w:rsidR="001C08FD" w:rsidRPr="007C2116" w:rsidRDefault="001C08FD" w:rsidP="001C08FD">
      <w:pPr>
        <w:tabs>
          <w:tab w:val="clear" w:pos="567"/>
        </w:tabs>
        <w:overflowPunct/>
        <w:autoSpaceDE/>
        <w:autoSpaceDN/>
        <w:adjustRightInd/>
        <w:ind w:left="720" w:hanging="720"/>
        <w:jc w:val="left"/>
        <w:textAlignment w:val="auto"/>
        <w:rPr>
          <w:rFonts w:eastAsia="Calibri"/>
          <w:lang w:val="en-US"/>
        </w:rPr>
      </w:pPr>
      <w:r w:rsidRPr="007C2116">
        <w:rPr>
          <w:lang w:val="en-US"/>
        </w:rPr>
        <w:t xml:space="preserve">Ministry of National </w:t>
      </w:r>
      <w:proofErr w:type="spellStart"/>
      <w:r w:rsidRPr="007C2116">
        <w:rPr>
          <w:lang w:val="en-US"/>
        </w:rPr>
        <w:t>Defence</w:t>
      </w:r>
      <w:proofErr w:type="spellEnd"/>
      <w:r w:rsidR="00805C2F" w:rsidRPr="007C2116">
        <w:rPr>
          <w:lang w:val="en-US"/>
        </w:rPr>
        <w:t xml:space="preserve"> of </w:t>
      </w:r>
      <w:proofErr w:type="spellStart"/>
      <w:r w:rsidR="00805C2F" w:rsidRPr="007C2116">
        <w:rPr>
          <w:lang w:val="en-US"/>
        </w:rPr>
        <w:t>Romania</w:t>
      </w:r>
      <w:r w:rsidRPr="007C2116">
        <w:rPr>
          <w:lang w:val="en-US"/>
        </w:rPr>
        <w:t>,"The</w:t>
      </w:r>
      <w:proofErr w:type="spellEnd"/>
      <w:r w:rsidRPr="007C2116">
        <w:rPr>
          <w:lang w:val="en-US"/>
        </w:rPr>
        <w:t xml:space="preserve"> Romanian </w:t>
      </w:r>
      <w:proofErr w:type="spellStart"/>
      <w:r w:rsidRPr="007C2116">
        <w:rPr>
          <w:lang w:val="en-US"/>
        </w:rPr>
        <w:t>Defence</w:t>
      </w:r>
      <w:proofErr w:type="spellEnd"/>
      <w:r w:rsidRPr="007C2116">
        <w:rPr>
          <w:lang w:val="en-US"/>
        </w:rPr>
        <w:t xml:space="preserve"> Minister participates in the North-Atlantic Council reunion," 14 </w:t>
      </w:r>
      <w:proofErr w:type="spellStart"/>
      <w:r w:rsidRPr="007C2116">
        <w:rPr>
          <w:lang w:val="en-US"/>
        </w:rPr>
        <w:t>juin</w:t>
      </w:r>
      <w:proofErr w:type="spellEnd"/>
      <w:r w:rsidRPr="007C2116">
        <w:rPr>
          <w:lang w:val="en-US"/>
        </w:rPr>
        <w:t xml:space="preserve"> 2016, http://english.mapn.ro/cpresa/4585_The-Romanian-Defence-Minister-participates-in-the-North-Atlantic-Council-Reunion</w:t>
      </w:r>
    </w:p>
    <w:p w14:paraId="21242EFE"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Monaco, Lisa O., “Administration Efforts on Cybersecurity: The Year in Review and Looking Forward to 2016,” Official White House Blog, 2 </w:t>
      </w:r>
      <w:proofErr w:type="spellStart"/>
      <w:r w:rsidRPr="007C2116">
        <w:rPr>
          <w:rFonts w:eastAsia="Calibri"/>
          <w:lang w:val="en-US"/>
        </w:rPr>
        <w:t>février</w:t>
      </w:r>
      <w:proofErr w:type="spellEnd"/>
      <w:r w:rsidRPr="007C2116">
        <w:rPr>
          <w:rFonts w:eastAsia="Calibri"/>
          <w:lang w:val="en-US"/>
        </w:rPr>
        <w:t xml:space="preserve"> 2016.</w:t>
      </w:r>
    </w:p>
    <w:p w14:paraId="0D6C9F9D" w14:textId="77DF6D9B" w:rsidR="001C08FD" w:rsidRPr="007C2116" w:rsidRDefault="001C08FD" w:rsidP="002F7548">
      <w:pPr>
        <w:tabs>
          <w:tab w:val="clear" w:pos="567"/>
        </w:tabs>
        <w:overflowPunct/>
        <w:autoSpaceDE/>
        <w:autoSpaceDN/>
        <w:adjustRightInd/>
        <w:ind w:left="720" w:hanging="720"/>
        <w:jc w:val="left"/>
        <w:textAlignment w:val="auto"/>
        <w:rPr>
          <w:rFonts w:eastAsia="Calibri"/>
          <w:lang w:val="en-US"/>
        </w:rPr>
      </w:pPr>
      <w:r w:rsidRPr="007C2116">
        <w:rPr>
          <w:lang w:val="en-US"/>
        </w:rPr>
        <w:t xml:space="preserve">NATO(a), "Warsaw Summit Communiqué", 9 </w:t>
      </w:r>
      <w:proofErr w:type="spellStart"/>
      <w:r w:rsidRPr="007C2116">
        <w:rPr>
          <w:lang w:val="en-US"/>
        </w:rPr>
        <w:t>juillet</w:t>
      </w:r>
      <w:proofErr w:type="spellEnd"/>
      <w:r w:rsidRPr="007C2116">
        <w:rPr>
          <w:lang w:val="en-US"/>
        </w:rPr>
        <w:t xml:space="preserve"> 2016, </w:t>
      </w:r>
      <w:hyperlink r:id="rId34" w:history="1">
        <w:r w:rsidRPr="007C2116">
          <w:rPr>
            <w:rStyle w:val="Hyperlink"/>
            <w:color w:val="auto"/>
            <w:u w:val="none"/>
            <w:lang w:val="en-US"/>
          </w:rPr>
          <w:t>http://www.nato.int/cps/en/natohq/official_texts_133169.htm</w:t>
        </w:r>
      </w:hyperlink>
    </w:p>
    <w:p w14:paraId="042B8C2F" w14:textId="3A1C3040" w:rsidR="002F7548" w:rsidRPr="007C2116" w:rsidRDefault="001C08FD"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NATO(b</w:t>
      </w:r>
      <w:r w:rsidR="002F7548" w:rsidRPr="007C2116">
        <w:rPr>
          <w:rFonts w:eastAsia="Calibri"/>
          <w:lang w:val="en-US"/>
        </w:rPr>
        <w:t>), “</w:t>
      </w:r>
      <w:proofErr w:type="spellStart"/>
      <w:r w:rsidR="002F7548" w:rsidRPr="007C2116">
        <w:rPr>
          <w:rFonts w:eastAsia="Calibri"/>
          <w:lang w:val="en-US"/>
        </w:rPr>
        <w:t>Defence</w:t>
      </w:r>
      <w:proofErr w:type="spellEnd"/>
      <w:r w:rsidR="002F7548" w:rsidRPr="007C2116">
        <w:rPr>
          <w:rFonts w:eastAsia="Calibri"/>
          <w:lang w:val="en-US"/>
        </w:rPr>
        <w:t xml:space="preserve"> Expenditures of NATO Countries (2008-2015),” Table 3: </w:t>
      </w:r>
      <w:proofErr w:type="spellStart"/>
      <w:r w:rsidR="002F7548" w:rsidRPr="007C2116">
        <w:rPr>
          <w:rFonts w:eastAsia="Calibri"/>
          <w:lang w:val="en-US"/>
        </w:rPr>
        <w:t>Defence</w:t>
      </w:r>
      <w:proofErr w:type="spellEnd"/>
      <w:r w:rsidR="002F7548" w:rsidRPr="007C2116">
        <w:rPr>
          <w:rFonts w:eastAsia="Calibri"/>
          <w:lang w:val="en-US"/>
        </w:rPr>
        <w:t xml:space="preserve"> expenditures as a percentage of gross domestic product and annual real change, p. 6, 26 </w:t>
      </w:r>
      <w:proofErr w:type="spellStart"/>
      <w:r w:rsidR="002F7548" w:rsidRPr="007C2116">
        <w:rPr>
          <w:rFonts w:eastAsia="Calibri"/>
          <w:lang w:val="en-US"/>
        </w:rPr>
        <w:t>janvier</w:t>
      </w:r>
      <w:proofErr w:type="spellEnd"/>
      <w:r w:rsidR="002F7548" w:rsidRPr="007C2116">
        <w:rPr>
          <w:rFonts w:eastAsia="Calibri"/>
          <w:lang w:val="en-US"/>
        </w:rPr>
        <w:t xml:space="preserve"> 2016, http://www.nato.int/nato_static_fl2014/assets/pdf/pdf_2016_01/20160129_160128-pr-2016-11-eng.pdf</w:t>
      </w:r>
    </w:p>
    <w:p w14:paraId="15ADAC9C" w14:textId="044D3B07" w:rsidR="002F7548" w:rsidRPr="007C2116" w:rsidRDefault="001C08FD"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NATO(c</w:t>
      </w:r>
      <w:r w:rsidR="002F7548" w:rsidRPr="007C2116">
        <w:rPr>
          <w:rFonts w:eastAsia="Calibri"/>
          <w:lang w:val="en-US"/>
        </w:rPr>
        <w:t xml:space="preserve">), “Six NATO Force Integration Units activated,” 2 </w:t>
      </w:r>
      <w:proofErr w:type="spellStart"/>
      <w:r w:rsidR="002F7548" w:rsidRPr="007C2116">
        <w:rPr>
          <w:rFonts w:eastAsia="Calibri"/>
          <w:lang w:val="en-US"/>
        </w:rPr>
        <w:t>septembre</w:t>
      </w:r>
      <w:proofErr w:type="spellEnd"/>
      <w:r w:rsidR="002F7548" w:rsidRPr="007C2116">
        <w:rPr>
          <w:rFonts w:eastAsia="Calibri"/>
          <w:lang w:val="en-US"/>
        </w:rPr>
        <w:t xml:space="preserve"> 2015, http://www.aco.nato.int/six-nato-force-integration-units-activated</w:t>
      </w:r>
    </w:p>
    <w:p w14:paraId="42C3A5BA" w14:textId="1E70F9EE" w:rsidR="002F7548" w:rsidRPr="007C2116" w:rsidRDefault="001C08FD"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NATO(d</w:t>
      </w:r>
      <w:r w:rsidR="002F7548" w:rsidRPr="007C2116">
        <w:rPr>
          <w:rFonts w:eastAsia="Calibri"/>
          <w:lang w:val="en-US"/>
        </w:rPr>
        <w:t xml:space="preserve">), </w:t>
      </w:r>
      <w:r w:rsidRPr="007C2116">
        <w:rPr>
          <w:lang w:val="en-US"/>
        </w:rPr>
        <w:t>“</w:t>
      </w:r>
      <w:proofErr w:type="spellStart"/>
      <w:r w:rsidRPr="007C2116">
        <w:rPr>
          <w:lang w:val="en-US"/>
        </w:rPr>
        <w:t>Defence</w:t>
      </w:r>
      <w:proofErr w:type="spellEnd"/>
      <w:r w:rsidRPr="007C2116">
        <w:rPr>
          <w:lang w:val="en-US"/>
        </w:rPr>
        <w:t xml:space="preserve"> Expenditures of NATO Countries (2009-2016),”</w:t>
      </w:r>
      <w:r w:rsidRPr="007C2116">
        <w:rPr>
          <w:rFonts w:eastAsia="Calibri"/>
          <w:lang w:val="en-US"/>
        </w:rPr>
        <w:t xml:space="preserve"> 4 </w:t>
      </w:r>
      <w:proofErr w:type="spellStart"/>
      <w:r w:rsidRPr="007C2116">
        <w:rPr>
          <w:rFonts w:eastAsia="Calibri"/>
          <w:lang w:val="en-US"/>
        </w:rPr>
        <w:t>juillet</w:t>
      </w:r>
      <w:proofErr w:type="spellEnd"/>
      <w:r w:rsidRPr="007C2116">
        <w:rPr>
          <w:rFonts w:eastAsia="Calibri"/>
          <w:lang w:val="en-US"/>
        </w:rPr>
        <w:t xml:space="preserve"> 2016, </w:t>
      </w:r>
      <w:hyperlink r:id="rId35" w:history="1">
        <w:r w:rsidRPr="007C2116">
          <w:rPr>
            <w:rStyle w:val="Hyperlink"/>
            <w:rFonts w:eastAsia="Calibri"/>
            <w:color w:val="auto"/>
            <w:u w:val="none"/>
            <w:lang w:val="en-US"/>
          </w:rPr>
          <w:t>http://www.nato.int/nato_static_fl2014/assets/pdf/pdf_2016_07/20160704_160704-pr2016-116.pdf</w:t>
        </w:r>
      </w:hyperlink>
    </w:p>
    <w:p w14:paraId="66B9AE3B" w14:textId="1E0298BF" w:rsidR="002F7548" w:rsidRPr="007C2116" w:rsidRDefault="001C08FD" w:rsidP="002F7548">
      <w:pPr>
        <w:tabs>
          <w:tab w:val="clear" w:pos="567"/>
        </w:tabs>
        <w:overflowPunct/>
        <w:autoSpaceDE/>
        <w:autoSpaceDN/>
        <w:adjustRightInd/>
        <w:ind w:left="720" w:hanging="720"/>
        <w:jc w:val="left"/>
        <w:textAlignment w:val="auto"/>
        <w:rPr>
          <w:lang w:val="en-US"/>
        </w:rPr>
      </w:pPr>
      <w:r w:rsidRPr="007C2116">
        <w:rPr>
          <w:rFonts w:eastAsia="Calibri"/>
          <w:lang w:val="en-US"/>
        </w:rPr>
        <w:t>NATO(e</w:t>
      </w:r>
      <w:r w:rsidR="002F7548" w:rsidRPr="007C2116">
        <w:rPr>
          <w:rFonts w:eastAsia="Calibri"/>
          <w:lang w:val="en-US"/>
        </w:rPr>
        <w:t>),</w:t>
      </w:r>
      <w:r w:rsidRPr="007C2116">
        <w:rPr>
          <w:rFonts w:eastAsia="Calibri"/>
          <w:lang w:val="en-US"/>
        </w:rPr>
        <w:t xml:space="preserve"> </w:t>
      </w:r>
      <w:r w:rsidRPr="007C2116">
        <w:rPr>
          <w:lang w:val="en-US"/>
        </w:rPr>
        <w:t xml:space="preserve">"Cyber </w:t>
      </w:r>
      <w:proofErr w:type="spellStart"/>
      <w:r w:rsidRPr="007C2116">
        <w:rPr>
          <w:lang w:val="en-US"/>
        </w:rPr>
        <w:t>Defence</w:t>
      </w:r>
      <w:proofErr w:type="spellEnd"/>
      <w:r w:rsidRPr="007C2116">
        <w:rPr>
          <w:lang w:val="en-US"/>
        </w:rPr>
        <w:t xml:space="preserve"> Pledge," 8 </w:t>
      </w:r>
      <w:proofErr w:type="spellStart"/>
      <w:r w:rsidRPr="007C2116">
        <w:rPr>
          <w:lang w:val="en-US"/>
        </w:rPr>
        <w:t>juillet</w:t>
      </w:r>
      <w:proofErr w:type="spellEnd"/>
      <w:r w:rsidRPr="007C2116">
        <w:rPr>
          <w:lang w:val="en-US"/>
        </w:rPr>
        <w:t xml:space="preserve"> 2016, </w:t>
      </w:r>
      <w:hyperlink r:id="rId36" w:history="1">
        <w:r w:rsidRPr="007C2116">
          <w:rPr>
            <w:rStyle w:val="Hyperlink"/>
            <w:color w:val="auto"/>
            <w:u w:val="none"/>
            <w:lang w:val="en-US"/>
          </w:rPr>
          <w:t>http://www.nato.int/cps/en/natohq/official_texts_133177.htm</w:t>
        </w:r>
      </w:hyperlink>
    </w:p>
    <w:p w14:paraId="64AA8A90" w14:textId="5D3ACF2E" w:rsidR="001C08FD" w:rsidRPr="007C2116" w:rsidRDefault="00805C2F" w:rsidP="001C08FD">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NATO</w:t>
      </w:r>
      <w:r w:rsidR="001C08FD" w:rsidRPr="007C2116">
        <w:rPr>
          <w:rFonts w:eastAsia="Calibri"/>
          <w:lang w:val="en-US"/>
        </w:rPr>
        <w:t xml:space="preserve">, “Strategic Concept for the </w:t>
      </w:r>
      <w:proofErr w:type="spellStart"/>
      <w:r w:rsidR="001C08FD" w:rsidRPr="007C2116">
        <w:rPr>
          <w:rFonts w:eastAsia="Calibri"/>
          <w:lang w:val="en-US"/>
        </w:rPr>
        <w:t>Defence</w:t>
      </w:r>
      <w:proofErr w:type="spellEnd"/>
      <w:r w:rsidR="001C08FD" w:rsidRPr="007C2116">
        <w:rPr>
          <w:rFonts w:eastAsia="Calibri"/>
          <w:lang w:val="en-US"/>
        </w:rPr>
        <w:t xml:space="preserve"> and Security of the Members of the North Atlantic Treaty Organization”,  </w:t>
      </w:r>
      <w:hyperlink r:id="rId37" w:history="1">
        <w:r w:rsidR="001C08FD" w:rsidRPr="007C2116">
          <w:rPr>
            <w:rFonts w:eastAsia="Calibri"/>
            <w:lang w:val="en-US"/>
          </w:rPr>
          <w:t>www.nato.int/lisbon2010/strategic-concept-2010-eng.pdf</w:t>
        </w:r>
      </w:hyperlink>
    </w:p>
    <w:p w14:paraId="68BB1480" w14:textId="2EC45B98" w:rsidR="001C08FD" w:rsidRPr="007C2116" w:rsidRDefault="00805C2F" w:rsidP="002F7548">
      <w:pPr>
        <w:tabs>
          <w:tab w:val="clear" w:pos="567"/>
        </w:tabs>
        <w:overflowPunct/>
        <w:autoSpaceDE/>
        <w:autoSpaceDN/>
        <w:adjustRightInd/>
        <w:ind w:left="720" w:hanging="720"/>
        <w:jc w:val="left"/>
        <w:textAlignment w:val="auto"/>
        <w:rPr>
          <w:rFonts w:eastAsia="Calibri"/>
        </w:rPr>
      </w:pPr>
      <w:r w:rsidRPr="007C2116">
        <w:rPr>
          <w:rFonts w:eastAsia="Calibri"/>
        </w:rPr>
        <w:t>NATO</w:t>
      </w:r>
      <w:r w:rsidR="001C08FD" w:rsidRPr="007C2116">
        <w:rPr>
          <w:rFonts w:eastAsia="Calibri"/>
        </w:rPr>
        <w:t xml:space="preserve">, Cyber </w:t>
      </w:r>
      <w:proofErr w:type="spellStart"/>
      <w:r w:rsidR="001C08FD" w:rsidRPr="007C2116">
        <w:rPr>
          <w:rFonts w:eastAsia="Calibri"/>
        </w:rPr>
        <w:t>Defence</w:t>
      </w:r>
      <w:proofErr w:type="spellEnd"/>
      <w:r w:rsidR="001C08FD" w:rsidRPr="007C2116">
        <w:rPr>
          <w:rFonts w:eastAsia="Calibri"/>
        </w:rPr>
        <w:t xml:space="preserve"> Topic Page, </w:t>
      </w:r>
      <w:hyperlink r:id="rId38" w:history="1">
        <w:r w:rsidR="001C08FD" w:rsidRPr="007C2116">
          <w:rPr>
            <w:rFonts w:eastAsia="Calibri"/>
          </w:rPr>
          <w:t>http://www.nato.int/cps/en/natohq/topics_78170.htm</w:t>
        </w:r>
      </w:hyperlink>
    </w:p>
    <w:p w14:paraId="7C5DE938" w14:textId="77777777" w:rsidR="002F7548" w:rsidRPr="007C2116" w:rsidRDefault="002F7548" w:rsidP="002F7548">
      <w:pPr>
        <w:tabs>
          <w:tab w:val="clear" w:pos="567"/>
        </w:tabs>
        <w:overflowPunct/>
        <w:autoSpaceDE/>
        <w:autoSpaceDN/>
        <w:adjustRightInd/>
        <w:ind w:left="720" w:hanging="720"/>
        <w:jc w:val="left"/>
        <w:textAlignment w:val="auto"/>
        <w:rPr>
          <w:rFonts w:eastAsia="Calibri"/>
        </w:rPr>
      </w:pPr>
      <w:r w:rsidRPr="007C2116">
        <w:rPr>
          <w:rFonts w:eastAsia="Calibri"/>
        </w:rPr>
        <w:t xml:space="preserve">NATO, </w:t>
      </w:r>
      <w:proofErr w:type="spellStart"/>
      <w:r w:rsidRPr="007C2116">
        <w:rPr>
          <w:rFonts w:eastAsia="Calibri"/>
        </w:rPr>
        <w:t>Response</w:t>
      </w:r>
      <w:proofErr w:type="spellEnd"/>
      <w:r w:rsidRPr="007C2116">
        <w:rPr>
          <w:rFonts w:eastAsia="Calibri"/>
        </w:rPr>
        <w:t xml:space="preserve"> Force </w:t>
      </w:r>
      <w:proofErr w:type="spellStart"/>
      <w:r w:rsidRPr="007C2116">
        <w:rPr>
          <w:rFonts w:eastAsia="Calibri"/>
        </w:rPr>
        <w:t>Factsheet</w:t>
      </w:r>
      <w:proofErr w:type="spellEnd"/>
      <w:r w:rsidRPr="007C2116">
        <w:rPr>
          <w:rFonts w:eastAsia="Calibri"/>
        </w:rPr>
        <w:t>, janvier 2016, http://www.shape.nato.int/page349011837</w:t>
      </w:r>
    </w:p>
    <w:p w14:paraId="39C8F6BD" w14:textId="454DFDF5" w:rsidR="002F7548" w:rsidRPr="007C2116" w:rsidRDefault="002F7548" w:rsidP="002F7548">
      <w:pPr>
        <w:tabs>
          <w:tab w:val="clear" w:pos="567"/>
        </w:tabs>
        <w:overflowPunct/>
        <w:autoSpaceDE/>
        <w:autoSpaceDN/>
        <w:adjustRightInd/>
        <w:ind w:left="720" w:hanging="720"/>
        <w:jc w:val="left"/>
        <w:textAlignment w:val="auto"/>
        <w:rPr>
          <w:rFonts w:eastAsia="Calibri"/>
        </w:rPr>
      </w:pPr>
      <w:r w:rsidRPr="007C2116">
        <w:rPr>
          <w:rFonts w:eastAsia="Calibri"/>
        </w:rPr>
        <w:t xml:space="preserve">NATO Joint </w:t>
      </w:r>
      <w:proofErr w:type="spellStart"/>
      <w:r w:rsidRPr="007C2116">
        <w:rPr>
          <w:rFonts w:eastAsia="Calibri"/>
        </w:rPr>
        <w:t>Analysis</w:t>
      </w:r>
      <w:proofErr w:type="spellEnd"/>
      <w:r w:rsidRPr="007C2116">
        <w:rPr>
          <w:rFonts w:eastAsia="Calibri"/>
        </w:rPr>
        <w:t xml:space="preserve"> and </w:t>
      </w:r>
      <w:proofErr w:type="spellStart"/>
      <w:r w:rsidRPr="007C2116">
        <w:rPr>
          <w:rFonts w:eastAsia="Calibri"/>
        </w:rPr>
        <w:t>Lessons</w:t>
      </w:r>
      <w:proofErr w:type="spellEnd"/>
      <w:r w:rsidRPr="007C2116">
        <w:rPr>
          <w:rFonts w:eastAsia="Calibri"/>
        </w:rPr>
        <w:t xml:space="preserve"> </w:t>
      </w:r>
      <w:proofErr w:type="spellStart"/>
      <w:r w:rsidRPr="007C2116">
        <w:rPr>
          <w:rFonts w:eastAsia="Calibri"/>
        </w:rPr>
        <w:t>Learned</w:t>
      </w:r>
      <w:proofErr w:type="spellEnd"/>
      <w:r w:rsidRPr="007C2116">
        <w:rPr>
          <w:rFonts w:eastAsia="Calibri"/>
        </w:rPr>
        <w:t xml:space="preserve"> Centre</w:t>
      </w:r>
      <w:r w:rsidR="00805C2F" w:rsidRPr="007C2116">
        <w:rPr>
          <w:rFonts w:eastAsia="Calibri"/>
        </w:rPr>
        <w:t xml:space="preserve"> (JALLC de</w:t>
      </w:r>
      <w:r w:rsidR="00F96463" w:rsidRPr="007C2116">
        <w:rPr>
          <w:rFonts w:eastAsia="Calibri"/>
        </w:rPr>
        <w:t xml:space="preserve"> </w:t>
      </w:r>
      <w:r w:rsidR="00805C2F" w:rsidRPr="007C2116">
        <w:rPr>
          <w:rFonts w:eastAsia="Calibri"/>
        </w:rPr>
        <w:t>l'OTAN)</w:t>
      </w:r>
      <w:r w:rsidRPr="007C2116">
        <w:rPr>
          <w:rFonts w:eastAsia="Calibri"/>
        </w:rPr>
        <w:t xml:space="preserve">, “Cyber </w:t>
      </w:r>
      <w:proofErr w:type="spellStart"/>
      <w:r w:rsidRPr="007C2116">
        <w:rPr>
          <w:rFonts w:eastAsia="Calibri"/>
        </w:rPr>
        <w:t>Defence</w:t>
      </w:r>
      <w:proofErr w:type="spellEnd"/>
      <w:r w:rsidRPr="007C2116">
        <w:rPr>
          <w:rFonts w:eastAsia="Calibri"/>
        </w:rPr>
        <w:t xml:space="preserve"> </w:t>
      </w:r>
      <w:proofErr w:type="spellStart"/>
      <w:r w:rsidRPr="007C2116">
        <w:rPr>
          <w:rFonts w:eastAsia="Calibri"/>
        </w:rPr>
        <w:t>Situational</w:t>
      </w:r>
      <w:proofErr w:type="spellEnd"/>
      <w:r w:rsidRPr="007C2116">
        <w:rPr>
          <w:rFonts w:eastAsia="Calibri"/>
        </w:rPr>
        <w:t xml:space="preserve"> </w:t>
      </w:r>
      <w:proofErr w:type="spellStart"/>
      <w:r w:rsidRPr="007C2116">
        <w:rPr>
          <w:rFonts w:eastAsia="Calibri"/>
        </w:rPr>
        <w:t>Awareness</w:t>
      </w:r>
      <w:proofErr w:type="spellEnd"/>
      <w:r w:rsidRPr="007C2116">
        <w:rPr>
          <w:rFonts w:eastAsia="Calibri"/>
        </w:rPr>
        <w:t xml:space="preserve"> in NATO” 13 octobre 2014, </w:t>
      </w:r>
      <w:hyperlink r:id="rId39" w:history="1">
        <w:r w:rsidRPr="007C2116">
          <w:rPr>
            <w:rFonts w:eastAsia="Calibri"/>
          </w:rPr>
          <w:t>http://www.jallc.nato.int/products/docs/factsheet_cyber_defence.pdf</w:t>
        </w:r>
      </w:hyperlink>
    </w:p>
    <w:p w14:paraId="20D1B94D" w14:textId="4F3869B5" w:rsidR="001C08FD" w:rsidRPr="007C2116" w:rsidRDefault="001C08FD" w:rsidP="001C08FD">
      <w:pPr>
        <w:tabs>
          <w:tab w:val="clear" w:pos="567"/>
          <w:tab w:val="left" w:pos="709"/>
        </w:tabs>
        <w:ind w:left="709" w:hanging="709"/>
        <w:jc w:val="left"/>
        <w:rPr>
          <w:lang w:val="en-US"/>
        </w:rPr>
      </w:pPr>
      <w:r w:rsidRPr="007C2116">
        <w:rPr>
          <w:lang w:val="en-US"/>
        </w:rPr>
        <w:t xml:space="preserve">NCIA, "NATO announces 3 billion EUR investment in </w:t>
      </w:r>
      <w:proofErr w:type="spellStart"/>
      <w:r w:rsidRPr="007C2116">
        <w:rPr>
          <w:lang w:val="en-US"/>
        </w:rPr>
        <w:t>defence</w:t>
      </w:r>
      <w:proofErr w:type="spellEnd"/>
      <w:r w:rsidRPr="007C2116">
        <w:rPr>
          <w:lang w:val="en-US"/>
        </w:rPr>
        <w:t xml:space="preserve"> technology", 26 </w:t>
      </w:r>
      <w:proofErr w:type="spellStart"/>
      <w:r w:rsidRPr="007C2116">
        <w:rPr>
          <w:lang w:val="en-US"/>
        </w:rPr>
        <w:t>juillet</w:t>
      </w:r>
      <w:proofErr w:type="spellEnd"/>
      <w:r w:rsidRPr="007C2116">
        <w:rPr>
          <w:lang w:val="en-US"/>
        </w:rPr>
        <w:t xml:space="preserve"> 2016, https://www.ncia.nato.int/NewsRoom/Pages/160726_Announcement_3billion_investments.aspx</w:t>
      </w:r>
    </w:p>
    <w:p w14:paraId="05A833A3" w14:textId="17C79AE2" w:rsidR="001C08FD" w:rsidRPr="007C2116" w:rsidRDefault="001C08FD" w:rsidP="001C08FD">
      <w:pPr>
        <w:tabs>
          <w:tab w:val="clear" w:pos="567"/>
        </w:tabs>
        <w:overflowPunct/>
        <w:autoSpaceDE/>
        <w:autoSpaceDN/>
        <w:adjustRightInd/>
        <w:ind w:left="720" w:hanging="720"/>
        <w:jc w:val="left"/>
        <w:textAlignment w:val="auto"/>
        <w:rPr>
          <w:rFonts w:eastAsia="Calibri"/>
          <w:lang w:val="en-US"/>
        </w:rPr>
      </w:pPr>
      <w:r w:rsidRPr="007C2116">
        <w:rPr>
          <w:lang w:val="en-US"/>
        </w:rPr>
        <w:t xml:space="preserve">Osborn, Andrew, "Russia seen putting new nuclear-capable missiles along NATO border by 2019," </w:t>
      </w:r>
      <w:r w:rsidRPr="007C2116">
        <w:rPr>
          <w:i/>
          <w:lang w:val="en-US"/>
        </w:rPr>
        <w:t>Reuters</w:t>
      </w:r>
      <w:r w:rsidRPr="007C2116">
        <w:rPr>
          <w:lang w:val="en-US"/>
        </w:rPr>
        <w:t xml:space="preserve">, 23 </w:t>
      </w:r>
      <w:proofErr w:type="spellStart"/>
      <w:r w:rsidRPr="007C2116">
        <w:rPr>
          <w:lang w:val="en-US"/>
        </w:rPr>
        <w:t>juin</w:t>
      </w:r>
      <w:proofErr w:type="spellEnd"/>
      <w:r w:rsidRPr="007C2116">
        <w:rPr>
          <w:lang w:val="en-US"/>
        </w:rPr>
        <w:t xml:space="preserve"> 2016, http://www.reuters.com/article/us-russia-europe-shield-idUSKCN0Z90WT</w:t>
      </w:r>
    </w:p>
    <w:p w14:paraId="6DAE91FD"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Pifer</w:t>
      </w:r>
      <w:proofErr w:type="spellEnd"/>
      <w:r w:rsidRPr="007C2116">
        <w:rPr>
          <w:rFonts w:eastAsia="Calibri"/>
          <w:lang w:val="en-US"/>
        </w:rPr>
        <w:t xml:space="preserve">, Steven, “Overblown: Russia's empty nuclear </w:t>
      </w:r>
      <w:proofErr w:type="spellStart"/>
      <w:r w:rsidRPr="007C2116">
        <w:rPr>
          <w:rFonts w:eastAsia="Calibri"/>
          <w:lang w:val="en-US"/>
        </w:rPr>
        <w:t>sabre-rattling</w:t>
      </w:r>
      <w:proofErr w:type="spellEnd"/>
      <w:r w:rsidRPr="007C2116">
        <w:rPr>
          <w:rFonts w:eastAsia="Calibri"/>
          <w:lang w:val="en-US"/>
        </w:rPr>
        <w:t xml:space="preserve">,” </w:t>
      </w:r>
      <w:r w:rsidRPr="007C2116">
        <w:rPr>
          <w:rFonts w:eastAsia="Calibri"/>
          <w:i/>
          <w:lang w:val="en-US"/>
        </w:rPr>
        <w:t>Brookings</w:t>
      </w:r>
      <w:r w:rsidRPr="007C2116">
        <w:rPr>
          <w:rFonts w:eastAsia="Calibri"/>
          <w:lang w:val="en-US"/>
        </w:rPr>
        <w:t>, 17 mars 2015, http://www.brookings.edu/research/opinions/2015/03/17-russia-nuclear-weapons-modernization-pifer</w:t>
      </w:r>
    </w:p>
    <w:p w14:paraId="5D23953D" w14:textId="77777777" w:rsidR="002F7548" w:rsidRPr="007C2116" w:rsidRDefault="002F7548" w:rsidP="002F7548">
      <w:pPr>
        <w:tabs>
          <w:tab w:val="clear" w:pos="567"/>
        </w:tabs>
        <w:overflowPunct/>
        <w:autoSpaceDE/>
        <w:autoSpaceDN/>
        <w:adjustRightInd/>
        <w:ind w:left="720" w:hanging="720"/>
        <w:jc w:val="left"/>
        <w:textAlignment w:val="auto"/>
        <w:rPr>
          <w:rFonts w:eastAsia="Calibri"/>
        </w:rPr>
      </w:pPr>
      <w:proofErr w:type="spellStart"/>
      <w:r w:rsidRPr="007C2116">
        <w:rPr>
          <w:rFonts w:eastAsia="Calibri"/>
        </w:rPr>
        <w:t>Polunin</w:t>
      </w:r>
      <w:proofErr w:type="spellEnd"/>
      <w:r w:rsidRPr="007C2116">
        <w:rPr>
          <w:rFonts w:eastAsia="Calibri"/>
        </w:rPr>
        <w:t xml:space="preserve">, Andrei, “NATO </w:t>
      </w:r>
      <w:proofErr w:type="spellStart"/>
      <w:r w:rsidRPr="007C2116">
        <w:rPr>
          <w:rFonts w:eastAsia="Calibri"/>
        </w:rPr>
        <w:t>nachinaet</w:t>
      </w:r>
      <w:proofErr w:type="spellEnd"/>
      <w:r w:rsidRPr="007C2116">
        <w:rPr>
          <w:rFonts w:eastAsia="Calibri"/>
        </w:rPr>
        <w:t xml:space="preserve"> </w:t>
      </w:r>
      <w:proofErr w:type="spellStart"/>
      <w:r w:rsidRPr="007C2116">
        <w:rPr>
          <w:rFonts w:eastAsia="Calibri"/>
        </w:rPr>
        <w:t>kholodnuyu</w:t>
      </w:r>
      <w:proofErr w:type="spellEnd"/>
      <w:r w:rsidRPr="007C2116">
        <w:rPr>
          <w:rFonts w:eastAsia="Calibri"/>
        </w:rPr>
        <w:t xml:space="preserve"> </w:t>
      </w:r>
      <w:proofErr w:type="spellStart"/>
      <w:r w:rsidRPr="007C2116">
        <w:rPr>
          <w:rFonts w:eastAsia="Calibri"/>
        </w:rPr>
        <w:t>voynu</w:t>
      </w:r>
      <w:proofErr w:type="spellEnd"/>
      <w:r w:rsidRPr="007C2116">
        <w:rPr>
          <w:rFonts w:eastAsia="Calibri"/>
        </w:rPr>
        <w:t xml:space="preserve"> 2,” </w:t>
      </w:r>
      <w:proofErr w:type="spellStart"/>
      <w:r w:rsidRPr="007C2116">
        <w:rPr>
          <w:rFonts w:eastAsia="Calibri"/>
          <w:i/>
        </w:rPr>
        <w:t>Svobodnaya</w:t>
      </w:r>
      <w:proofErr w:type="spellEnd"/>
      <w:r w:rsidRPr="007C2116">
        <w:rPr>
          <w:rFonts w:eastAsia="Calibri"/>
          <w:i/>
        </w:rPr>
        <w:t xml:space="preserve"> Pressa</w:t>
      </w:r>
      <w:r w:rsidRPr="007C2116">
        <w:rPr>
          <w:rFonts w:eastAsia="Calibri"/>
        </w:rPr>
        <w:t>, 11 février 2016, http://svpressa.ru/politic/article/142145/</w:t>
      </w:r>
    </w:p>
    <w:p w14:paraId="39212897" w14:textId="69E8DD3F" w:rsidR="002F7548" w:rsidRPr="007C2116" w:rsidRDefault="002F7548" w:rsidP="002F7548">
      <w:pPr>
        <w:tabs>
          <w:tab w:val="clear" w:pos="567"/>
        </w:tabs>
        <w:overflowPunct/>
        <w:autoSpaceDE/>
        <w:autoSpaceDN/>
        <w:adjustRightInd/>
        <w:ind w:left="720" w:hanging="720"/>
        <w:jc w:val="left"/>
        <w:textAlignment w:val="auto"/>
        <w:rPr>
          <w:rFonts w:eastAsia="Calibri"/>
        </w:rPr>
      </w:pPr>
      <w:proofErr w:type="spellStart"/>
      <w:r w:rsidRPr="007C2116">
        <w:rPr>
          <w:rFonts w:eastAsia="Calibri"/>
        </w:rPr>
        <w:t>President</w:t>
      </w:r>
      <w:proofErr w:type="spellEnd"/>
      <w:r w:rsidRPr="007C2116">
        <w:rPr>
          <w:rFonts w:eastAsia="Calibri"/>
        </w:rPr>
        <w:t xml:space="preserve"> of the </w:t>
      </w:r>
      <w:proofErr w:type="spellStart"/>
      <w:r w:rsidRPr="007C2116">
        <w:rPr>
          <w:rFonts w:eastAsia="Calibri"/>
        </w:rPr>
        <w:t>Russian</w:t>
      </w:r>
      <w:proofErr w:type="spellEnd"/>
      <w:r w:rsidRPr="007C2116">
        <w:rPr>
          <w:rFonts w:eastAsia="Calibri"/>
        </w:rPr>
        <w:t xml:space="preserve"> </w:t>
      </w:r>
      <w:proofErr w:type="spellStart"/>
      <w:r w:rsidRPr="007C2116">
        <w:rPr>
          <w:rFonts w:eastAsia="Calibri"/>
        </w:rPr>
        <w:t>Federation</w:t>
      </w:r>
      <w:proofErr w:type="spellEnd"/>
      <w:r w:rsidR="00805C2F" w:rsidRPr="007C2116">
        <w:rPr>
          <w:rFonts w:eastAsia="Calibri"/>
        </w:rPr>
        <w:t xml:space="preserve"> (président de la Fédération de Russie)</w:t>
      </w:r>
      <w:r w:rsidRPr="007C2116">
        <w:rPr>
          <w:rFonts w:eastAsia="Calibri"/>
        </w:rPr>
        <w:t>, “</w:t>
      </w:r>
      <w:proofErr w:type="spellStart"/>
      <w:r w:rsidRPr="007C2116">
        <w:rPr>
          <w:rFonts w:eastAsia="Calibri"/>
        </w:rPr>
        <w:t>Strategia</w:t>
      </w:r>
      <w:proofErr w:type="spellEnd"/>
      <w:r w:rsidRPr="007C2116">
        <w:rPr>
          <w:rFonts w:eastAsia="Calibri"/>
        </w:rPr>
        <w:t xml:space="preserve"> </w:t>
      </w:r>
      <w:proofErr w:type="spellStart"/>
      <w:r w:rsidRPr="007C2116">
        <w:rPr>
          <w:rFonts w:eastAsia="Calibri"/>
        </w:rPr>
        <w:t>natsionalnoi</w:t>
      </w:r>
      <w:proofErr w:type="spellEnd"/>
      <w:r w:rsidRPr="007C2116">
        <w:rPr>
          <w:rFonts w:eastAsia="Calibri"/>
        </w:rPr>
        <w:t xml:space="preserve"> </w:t>
      </w:r>
      <w:proofErr w:type="spellStart"/>
      <w:r w:rsidRPr="007C2116">
        <w:rPr>
          <w:rFonts w:eastAsia="Calibri"/>
        </w:rPr>
        <w:t>bezopasnosti</w:t>
      </w:r>
      <w:proofErr w:type="spellEnd"/>
      <w:r w:rsidRPr="007C2116">
        <w:rPr>
          <w:rFonts w:eastAsia="Calibri"/>
        </w:rPr>
        <w:t xml:space="preserve"> </w:t>
      </w:r>
      <w:proofErr w:type="spellStart"/>
      <w:r w:rsidRPr="007C2116">
        <w:rPr>
          <w:rFonts w:eastAsia="Calibri"/>
        </w:rPr>
        <w:t>Rossyiskoi</w:t>
      </w:r>
      <w:proofErr w:type="spellEnd"/>
      <w:r w:rsidRPr="007C2116">
        <w:rPr>
          <w:rFonts w:eastAsia="Calibri"/>
        </w:rPr>
        <w:t xml:space="preserve"> </w:t>
      </w:r>
      <w:proofErr w:type="spellStart"/>
      <w:r w:rsidRPr="007C2116">
        <w:rPr>
          <w:rFonts w:eastAsia="Calibri"/>
        </w:rPr>
        <w:t>Federatsi</w:t>
      </w:r>
      <w:proofErr w:type="spellEnd"/>
      <w:r w:rsidRPr="007C2116">
        <w:rPr>
          <w:rFonts w:eastAsia="Calibri"/>
        </w:rPr>
        <w:t xml:space="preserve">,” 31 </w:t>
      </w:r>
      <w:r w:rsidR="001C08FD" w:rsidRPr="007C2116">
        <w:rPr>
          <w:rFonts w:eastAsia="Calibri"/>
        </w:rPr>
        <w:t>décembre</w:t>
      </w:r>
      <w:r w:rsidRPr="007C2116">
        <w:rPr>
          <w:rFonts w:eastAsia="Calibri"/>
        </w:rPr>
        <w:t xml:space="preserve"> 2015, http://www.scrf.gov.ru/documents/1/133.html</w:t>
      </w:r>
    </w:p>
    <w:p w14:paraId="481F041E" w14:textId="3DE0B9E0" w:rsidR="002F7548" w:rsidRPr="007C2116" w:rsidRDefault="002F7548" w:rsidP="002F7548">
      <w:pPr>
        <w:tabs>
          <w:tab w:val="clear" w:pos="567"/>
        </w:tabs>
        <w:overflowPunct/>
        <w:autoSpaceDE/>
        <w:autoSpaceDN/>
        <w:adjustRightInd/>
        <w:ind w:left="720" w:hanging="720"/>
        <w:jc w:val="left"/>
        <w:textAlignment w:val="auto"/>
        <w:rPr>
          <w:rFonts w:eastAsia="Calibri"/>
        </w:rPr>
      </w:pPr>
      <w:proofErr w:type="spellStart"/>
      <w:r w:rsidRPr="007C2116">
        <w:rPr>
          <w:rFonts w:eastAsia="Calibri"/>
        </w:rPr>
        <w:t>Proshkin</w:t>
      </w:r>
      <w:proofErr w:type="spellEnd"/>
      <w:r w:rsidRPr="007C2116">
        <w:rPr>
          <w:rFonts w:eastAsia="Calibri"/>
        </w:rPr>
        <w:t>, Ivan, “</w:t>
      </w:r>
      <w:proofErr w:type="spellStart"/>
      <w:r w:rsidRPr="007C2116">
        <w:rPr>
          <w:rFonts w:eastAsia="Calibri"/>
        </w:rPr>
        <w:t>Uchenia</w:t>
      </w:r>
      <w:proofErr w:type="spellEnd"/>
      <w:r w:rsidRPr="007C2116">
        <w:rPr>
          <w:rFonts w:eastAsia="Calibri"/>
        </w:rPr>
        <w:t xml:space="preserve"> ‘Tsentr-2015’ </w:t>
      </w:r>
      <w:proofErr w:type="spellStart"/>
      <w:r w:rsidRPr="007C2116">
        <w:rPr>
          <w:rFonts w:eastAsia="Calibri"/>
        </w:rPr>
        <w:t>stali</w:t>
      </w:r>
      <w:proofErr w:type="spellEnd"/>
      <w:r w:rsidRPr="007C2116">
        <w:rPr>
          <w:rFonts w:eastAsia="Calibri"/>
        </w:rPr>
        <w:t xml:space="preserve"> </w:t>
      </w:r>
      <w:proofErr w:type="spellStart"/>
      <w:r w:rsidRPr="007C2116">
        <w:rPr>
          <w:rFonts w:eastAsia="Calibri"/>
        </w:rPr>
        <w:t>krupneishimi</w:t>
      </w:r>
      <w:proofErr w:type="spellEnd"/>
      <w:r w:rsidRPr="007C2116">
        <w:rPr>
          <w:rFonts w:eastAsia="Calibri"/>
        </w:rPr>
        <w:t xml:space="preserve"> v </w:t>
      </w:r>
      <w:proofErr w:type="spellStart"/>
      <w:r w:rsidRPr="007C2116">
        <w:rPr>
          <w:rFonts w:eastAsia="Calibri"/>
        </w:rPr>
        <w:t>Rossii</w:t>
      </w:r>
      <w:proofErr w:type="spellEnd"/>
      <w:r w:rsidRPr="007C2116">
        <w:rPr>
          <w:rFonts w:eastAsia="Calibri"/>
        </w:rPr>
        <w:t xml:space="preserve">,” </w:t>
      </w:r>
      <w:proofErr w:type="spellStart"/>
      <w:r w:rsidRPr="007C2116">
        <w:rPr>
          <w:rFonts w:eastAsia="Calibri"/>
          <w:i/>
        </w:rPr>
        <w:t>Politicheskaia</w:t>
      </w:r>
      <w:proofErr w:type="spellEnd"/>
      <w:r w:rsidRPr="007C2116">
        <w:rPr>
          <w:rFonts w:eastAsia="Calibri"/>
          <w:i/>
        </w:rPr>
        <w:t xml:space="preserve"> </w:t>
      </w:r>
      <w:proofErr w:type="spellStart"/>
      <w:r w:rsidRPr="007C2116">
        <w:rPr>
          <w:rFonts w:eastAsia="Calibri"/>
          <w:i/>
        </w:rPr>
        <w:t>Rossiia</w:t>
      </w:r>
      <w:proofErr w:type="spellEnd"/>
      <w:r w:rsidR="00E5016C">
        <w:rPr>
          <w:rFonts w:eastAsia="Calibri"/>
        </w:rPr>
        <w:t>, 16 </w:t>
      </w:r>
      <w:r w:rsidR="001C08FD" w:rsidRPr="007C2116">
        <w:rPr>
          <w:rFonts w:eastAsia="Calibri"/>
        </w:rPr>
        <w:t>septembre</w:t>
      </w:r>
      <w:r w:rsidRPr="007C2116">
        <w:rPr>
          <w:rFonts w:eastAsia="Calibri"/>
        </w:rPr>
        <w:t xml:space="preserve"> 2015, </w:t>
      </w:r>
      <w:hyperlink r:id="rId40" w:history="1">
        <w:r w:rsidR="001C08FD" w:rsidRPr="007C2116">
          <w:rPr>
            <w:rStyle w:val="Hyperlink"/>
            <w:rFonts w:eastAsia="Calibri"/>
            <w:color w:val="auto"/>
            <w:u w:val="none"/>
          </w:rPr>
          <w:t>http://politrussia.com/vooruzhennye-sily/tsentr-sily-510/</w:t>
        </w:r>
      </w:hyperlink>
    </w:p>
    <w:p w14:paraId="774CD1B3" w14:textId="6C542F67" w:rsidR="001C08FD" w:rsidRPr="007C2116" w:rsidRDefault="00F96463" w:rsidP="001C08FD">
      <w:pPr>
        <w:tabs>
          <w:tab w:val="clear" w:pos="567"/>
        </w:tabs>
        <w:overflowPunct/>
        <w:autoSpaceDE/>
        <w:autoSpaceDN/>
        <w:adjustRightInd/>
        <w:ind w:left="720" w:hanging="720"/>
        <w:jc w:val="left"/>
        <w:textAlignment w:val="auto"/>
        <w:rPr>
          <w:lang w:val="en-US"/>
        </w:rPr>
      </w:pPr>
      <w:r w:rsidRPr="007C2116">
        <w:rPr>
          <w:lang w:val="en-GB"/>
        </w:rPr>
        <w:t>H</w:t>
      </w:r>
      <w:r w:rsidRPr="007C2116">
        <w:rPr>
          <w:lang w:val="en-US"/>
        </w:rPr>
        <w:t>Q</w:t>
      </w:r>
      <w:r w:rsidR="001C08FD" w:rsidRPr="007C2116">
        <w:rPr>
          <w:lang w:val="en-US"/>
        </w:rPr>
        <w:t xml:space="preserve"> AIRCOM, "Allied Air Command takes over NATO’s first permanent Ballistic Missile </w:t>
      </w:r>
      <w:proofErr w:type="spellStart"/>
      <w:r w:rsidR="001C08FD" w:rsidRPr="007C2116">
        <w:rPr>
          <w:lang w:val="en-US"/>
        </w:rPr>
        <w:t>Defence</w:t>
      </w:r>
      <w:proofErr w:type="spellEnd"/>
      <w:r w:rsidR="001C08FD" w:rsidRPr="007C2116">
        <w:rPr>
          <w:lang w:val="en-US"/>
        </w:rPr>
        <w:t xml:space="preserve"> resource," 19 </w:t>
      </w:r>
      <w:proofErr w:type="spellStart"/>
      <w:r w:rsidR="001C08FD" w:rsidRPr="007C2116">
        <w:rPr>
          <w:lang w:val="en-US"/>
        </w:rPr>
        <w:t>août</w:t>
      </w:r>
      <w:proofErr w:type="spellEnd"/>
      <w:r w:rsidR="001C08FD" w:rsidRPr="007C2116">
        <w:rPr>
          <w:lang w:val="en-US"/>
        </w:rPr>
        <w:t xml:space="preserve"> 2016, </w:t>
      </w:r>
      <w:hyperlink r:id="rId41" w:history="1">
        <w:r w:rsidR="001C08FD" w:rsidRPr="007C2116">
          <w:rPr>
            <w:rStyle w:val="Hyperlink"/>
            <w:color w:val="auto"/>
            <w:u w:val="none"/>
            <w:lang w:val="en-US"/>
          </w:rPr>
          <w:t>https://www.airn.nato.int/archive/2016/allied-air-command-takes-over-nato-first-permanent-ballistic-missile-defence-resource</w:t>
        </w:r>
      </w:hyperlink>
    </w:p>
    <w:p w14:paraId="0B18053B" w14:textId="4E75BC88" w:rsidR="001C08FD" w:rsidRPr="007C2116" w:rsidRDefault="001C08FD" w:rsidP="001C08FD">
      <w:pPr>
        <w:tabs>
          <w:tab w:val="clear" w:pos="567"/>
        </w:tabs>
        <w:overflowPunct/>
        <w:autoSpaceDE/>
        <w:autoSpaceDN/>
        <w:adjustRightInd/>
        <w:ind w:left="720" w:hanging="720"/>
        <w:jc w:val="left"/>
        <w:textAlignment w:val="auto"/>
        <w:rPr>
          <w:lang w:val="en-US"/>
        </w:rPr>
      </w:pPr>
      <w:r w:rsidRPr="007C2116">
        <w:rPr>
          <w:lang w:val="en-US"/>
        </w:rPr>
        <w:t xml:space="preserve">Reuters, "Russia deploys advanced S-400 air missile system to Crimea: agencies," 12 </w:t>
      </w:r>
      <w:proofErr w:type="spellStart"/>
      <w:r w:rsidRPr="007C2116">
        <w:rPr>
          <w:lang w:val="en-US"/>
        </w:rPr>
        <w:t>août</w:t>
      </w:r>
      <w:proofErr w:type="spellEnd"/>
      <w:r w:rsidRPr="007C2116">
        <w:rPr>
          <w:lang w:val="en-US"/>
        </w:rPr>
        <w:t xml:space="preserve"> 2016, </w:t>
      </w:r>
      <w:hyperlink r:id="rId42" w:history="1">
        <w:r w:rsidRPr="007C2116">
          <w:rPr>
            <w:rStyle w:val="Hyperlink"/>
            <w:color w:val="auto"/>
            <w:u w:val="none"/>
            <w:lang w:val="en-US"/>
          </w:rPr>
          <w:t>http://www.reuters.com/article/us-ukraine-crisis-crimea-missiles-idUSKCN10N1H4</w:t>
        </w:r>
      </w:hyperlink>
    </w:p>
    <w:p w14:paraId="29C947A2" w14:textId="5D9BD777" w:rsidR="001C08FD" w:rsidRPr="007C2116" w:rsidRDefault="001C08FD" w:rsidP="001C08FD">
      <w:pPr>
        <w:tabs>
          <w:tab w:val="clear" w:pos="567"/>
        </w:tabs>
        <w:overflowPunct/>
        <w:autoSpaceDE/>
        <w:autoSpaceDN/>
        <w:adjustRightInd/>
        <w:ind w:left="720" w:hanging="720"/>
        <w:jc w:val="left"/>
        <w:textAlignment w:val="auto"/>
        <w:rPr>
          <w:rFonts w:eastAsia="Calibri"/>
          <w:lang w:val="en-US"/>
        </w:rPr>
      </w:pPr>
      <w:r w:rsidRPr="007C2116">
        <w:rPr>
          <w:lang w:val="en-US"/>
        </w:rPr>
        <w:t>Russia Today, "Moscow to deploy S-400 defense missile system t</w:t>
      </w:r>
      <w:r w:rsidR="00E5016C">
        <w:rPr>
          <w:lang w:val="en-US"/>
        </w:rPr>
        <w:t xml:space="preserve">o </w:t>
      </w:r>
      <w:proofErr w:type="spellStart"/>
      <w:r w:rsidR="00E5016C">
        <w:rPr>
          <w:lang w:val="en-US"/>
        </w:rPr>
        <w:t>Kmeimim</w:t>
      </w:r>
      <w:proofErr w:type="spellEnd"/>
      <w:r w:rsidR="00E5016C">
        <w:rPr>
          <w:lang w:val="en-US"/>
        </w:rPr>
        <w:t xml:space="preserve"> airbase in Syria," 25 </w:t>
      </w:r>
      <w:proofErr w:type="spellStart"/>
      <w:r w:rsidRPr="007C2116">
        <w:rPr>
          <w:lang w:val="en-US"/>
        </w:rPr>
        <w:t>novembre</w:t>
      </w:r>
      <w:proofErr w:type="spellEnd"/>
      <w:r w:rsidRPr="007C2116">
        <w:rPr>
          <w:lang w:val="en-US"/>
        </w:rPr>
        <w:t xml:space="preserve"> 2015 https://www.rt.com/news/323379-s400-russia-syria-airbase/</w:t>
      </w:r>
    </w:p>
    <w:p w14:paraId="68EDD5E0" w14:textId="0E683B65"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Russian Institute of Strategic Studies</w:t>
      </w:r>
      <w:r w:rsidR="00805C2F" w:rsidRPr="007C2116">
        <w:rPr>
          <w:rFonts w:eastAsia="Calibri"/>
          <w:lang w:val="en-US"/>
        </w:rPr>
        <w:t xml:space="preserve"> (</w:t>
      </w:r>
      <w:proofErr w:type="spellStart"/>
      <w:r w:rsidR="00805C2F" w:rsidRPr="007C2116">
        <w:rPr>
          <w:rFonts w:eastAsia="Calibri"/>
          <w:lang w:val="en-US"/>
        </w:rPr>
        <w:t>Institut</w:t>
      </w:r>
      <w:proofErr w:type="spellEnd"/>
      <w:r w:rsidR="00805C2F" w:rsidRPr="007C2116">
        <w:rPr>
          <w:rFonts w:eastAsia="Calibri"/>
          <w:lang w:val="en-US"/>
        </w:rPr>
        <w:t xml:space="preserve"> </w:t>
      </w:r>
      <w:proofErr w:type="spellStart"/>
      <w:r w:rsidR="00805C2F" w:rsidRPr="007C2116">
        <w:rPr>
          <w:rFonts w:eastAsia="Calibri"/>
          <w:lang w:val="en-US"/>
        </w:rPr>
        <w:t>russe</w:t>
      </w:r>
      <w:proofErr w:type="spellEnd"/>
      <w:r w:rsidR="00805C2F" w:rsidRPr="007C2116">
        <w:rPr>
          <w:rFonts w:eastAsia="Calibri"/>
          <w:lang w:val="en-US"/>
        </w:rPr>
        <w:t xml:space="preserve"> </w:t>
      </w:r>
      <w:proofErr w:type="spellStart"/>
      <w:r w:rsidR="00805C2F" w:rsidRPr="007C2116">
        <w:rPr>
          <w:rFonts w:eastAsia="Calibri"/>
          <w:lang w:val="en-US"/>
        </w:rPr>
        <w:t>d'études</w:t>
      </w:r>
      <w:proofErr w:type="spellEnd"/>
      <w:r w:rsidR="00805C2F" w:rsidRPr="007C2116">
        <w:rPr>
          <w:rFonts w:eastAsia="Calibri"/>
          <w:lang w:val="en-US"/>
        </w:rPr>
        <w:t xml:space="preserve"> </w:t>
      </w:r>
      <w:proofErr w:type="spellStart"/>
      <w:r w:rsidR="00805C2F" w:rsidRPr="007C2116">
        <w:rPr>
          <w:rFonts w:eastAsia="Calibri"/>
          <w:lang w:val="en-US"/>
        </w:rPr>
        <w:t>stratégiques</w:t>
      </w:r>
      <w:proofErr w:type="spellEnd"/>
      <w:r w:rsidR="00805C2F" w:rsidRPr="007C2116">
        <w:rPr>
          <w:rFonts w:eastAsia="Calibri"/>
          <w:lang w:val="en-US"/>
        </w:rPr>
        <w:t>)</w:t>
      </w:r>
      <w:r w:rsidRPr="007C2116">
        <w:rPr>
          <w:rFonts w:eastAsia="Calibri"/>
          <w:lang w:val="en-US"/>
        </w:rPr>
        <w:t xml:space="preserve">, “U </w:t>
      </w:r>
      <w:proofErr w:type="spellStart"/>
      <w:r w:rsidRPr="007C2116">
        <w:rPr>
          <w:rFonts w:eastAsia="Calibri"/>
          <w:lang w:val="en-US"/>
        </w:rPr>
        <w:t>Rossii</w:t>
      </w:r>
      <w:proofErr w:type="spellEnd"/>
      <w:r w:rsidRPr="007C2116">
        <w:rPr>
          <w:rFonts w:eastAsia="Calibri"/>
          <w:lang w:val="en-US"/>
        </w:rPr>
        <w:t xml:space="preserve"> </w:t>
      </w:r>
      <w:proofErr w:type="spellStart"/>
      <w:r w:rsidRPr="007C2116">
        <w:rPr>
          <w:rFonts w:eastAsia="Calibri"/>
          <w:lang w:val="en-US"/>
        </w:rPr>
        <w:t>budet</w:t>
      </w:r>
      <w:proofErr w:type="spellEnd"/>
      <w:r w:rsidRPr="007C2116">
        <w:rPr>
          <w:rFonts w:eastAsia="Calibri"/>
          <w:lang w:val="en-US"/>
        </w:rPr>
        <w:t xml:space="preserve"> </w:t>
      </w:r>
      <w:proofErr w:type="spellStart"/>
      <w:r w:rsidRPr="007C2116">
        <w:rPr>
          <w:rFonts w:eastAsia="Calibri"/>
          <w:lang w:val="en-US"/>
        </w:rPr>
        <w:t>kompleksnyi</w:t>
      </w:r>
      <w:proofErr w:type="spellEnd"/>
      <w:r w:rsidRPr="007C2116">
        <w:rPr>
          <w:rFonts w:eastAsia="Calibri"/>
          <w:lang w:val="en-US"/>
        </w:rPr>
        <w:t xml:space="preserve"> </w:t>
      </w:r>
      <w:proofErr w:type="spellStart"/>
      <w:r w:rsidRPr="007C2116">
        <w:rPr>
          <w:rFonts w:eastAsia="Calibri"/>
          <w:lang w:val="en-US"/>
        </w:rPr>
        <w:t>otvet</w:t>
      </w:r>
      <w:proofErr w:type="spellEnd"/>
      <w:r w:rsidRPr="007C2116">
        <w:rPr>
          <w:rFonts w:eastAsia="Calibri"/>
          <w:lang w:val="en-US"/>
        </w:rPr>
        <w:t xml:space="preserve"> </w:t>
      </w:r>
      <w:proofErr w:type="spellStart"/>
      <w:r w:rsidRPr="007C2116">
        <w:rPr>
          <w:rFonts w:eastAsia="Calibri"/>
          <w:lang w:val="en-US"/>
        </w:rPr>
        <w:t>na</w:t>
      </w:r>
      <w:proofErr w:type="spellEnd"/>
      <w:r w:rsidRPr="007C2116">
        <w:rPr>
          <w:rFonts w:eastAsia="Calibri"/>
          <w:lang w:val="en-US"/>
        </w:rPr>
        <w:t xml:space="preserve"> </w:t>
      </w:r>
      <w:proofErr w:type="spellStart"/>
      <w:r w:rsidRPr="007C2116">
        <w:rPr>
          <w:rFonts w:eastAsia="Calibri"/>
          <w:lang w:val="en-US"/>
        </w:rPr>
        <w:t>voennye</w:t>
      </w:r>
      <w:proofErr w:type="spellEnd"/>
      <w:r w:rsidRPr="007C2116">
        <w:rPr>
          <w:rFonts w:eastAsia="Calibri"/>
          <w:lang w:val="en-US"/>
        </w:rPr>
        <w:t xml:space="preserve"> </w:t>
      </w:r>
      <w:proofErr w:type="spellStart"/>
      <w:r w:rsidRPr="007C2116">
        <w:rPr>
          <w:rFonts w:eastAsia="Calibri"/>
          <w:lang w:val="en-US"/>
        </w:rPr>
        <w:t>ygrozy</w:t>
      </w:r>
      <w:proofErr w:type="spellEnd"/>
      <w:r w:rsidRPr="007C2116">
        <w:rPr>
          <w:rFonts w:eastAsia="Calibri"/>
          <w:lang w:val="en-US"/>
        </w:rPr>
        <w:t xml:space="preserve"> NATO </w:t>
      </w:r>
      <w:proofErr w:type="spellStart"/>
      <w:r w:rsidRPr="007C2116">
        <w:rPr>
          <w:rFonts w:eastAsia="Calibri"/>
          <w:lang w:val="en-US"/>
        </w:rPr>
        <w:t>i</w:t>
      </w:r>
      <w:proofErr w:type="spellEnd"/>
      <w:r w:rsidRPr="007C2116">
        <w:rPr>
          <w:rFonts w:eastAsia="Calibri"/>
          <w:lang w:val="en-US"/>
        </w:rPr>
        <w:t xml:space="preserve"> USA,” 30 </w:t>
      </w:r>
      <w:proofErr w:type="spellStart"/>
      <w:r w:rsidRPr="007C2116">
        <w:rPr>
          <w:rFonts w:eastAsia="Calibri"/>
          <w:lang w:val="en-US"/>
        </w:rPr>
        <w:t>septembre</w:t>
      </w:r>
      <w:proofErr w:type="spellEnd"/>
      <w:r w:rsidRPr="007C2116">
        <w:rPr>
          <w:rFonts w:eastAsia="Calibri"/>
          <w:lang w:val="en-US"/>
        </w:rPr>
        <w:t xml:space="preserve"> 2015, http://riss.ru/smi/20962/</w:t>
      </w:r>
    </w:p>
    <w:p w14:paraId="57FA6400" w14:textId="6E94EA72" w:rsidR="001C08FD" w:rsidRPr="007C2116" w:rsidRDefault="001C08FD" w:rsidP="002F7548">
      <w:pPr>
        <w:tabs>
          <w:tab w:val="clear" w:pos="567"/>
        </w:tabs>
        <w:overflowPunct/>
        <w:autoSpaceDE/>
        <w:autoSpaceDN/>
        <w:adjustRightInd/>
        <w:ind w:left="720" w:hanging="720"/>
        <w:jc w:val="left"/>
        <w:textAlignment w:val="auto"/>
        <w:rPr>
          <w:lang w:val="en-US"/>
        </w:rPr>
      </w:pPr>
      <w:r w:rsidRPr="007C2116">
        <w:rPr>
          <w:lang w:val="en-US"/>
        </w:rPr>
        <w:t xml:space="preserve">SC Magazine, “NATO to spend €70 million on ‘cyber-refresher'," 24 </w:t>
      </w:r>
      <w:proofErr w:type="spellStart"/>
      <w:r w:rsidRPr="007C2116">
        <w:rPr>
          <w:lang w:val="en-US"/>
        </w:rPr>
        <w:t>août</w:t>
      </w:r>
      <w:proofErr w:type="spellEnd"/>
      <w:r w:rsidRPr="007C2116">
        <w:rPr>
          <w:lang w:val="en-US"/>
        </w:rPr>
        <w:t xml:space="preserve"> 2016, </w:t>
      </w:r>
      <w:hyperlink r:id="rId43" w:history="1">
        <w:r w:rsidRPr="007C2116">
          <w:rPr>
            <w:rStyle w:val="Hyperlink"/>
            <w:color w:val="auto"/>
            <w:u w:val="none"/>
            <w:lang w:val="en-US"/>
          </w:rPr>
          <w:t>http://www.scmagazineuk.com/nato-to-spend-70-million-on-cyber-refresh/article/518051/</w:t>
        </w:r>
      </w:hyperlink>
    </w:p>
    <w:p w14:paraId="0732F08F" w14:textId="3BDB4BA9"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Shlapak</w:t>
      </w:r>
      <w:proofErr w:type="spellEnd"/>
      <w:r w:rsidRPr="007C2116">
        <w:rPr>
          <w:rFonts w:eastAsia="Calibri"/>
          <w:lang w:val="en-US"/>
        </w:rPr>
        <w:t xml:space="preserve"> David A.; Johnson, Michael W., “Reinforcing Deterrence on NATO’s Eastern Flank: </w:t>
      </w:r>
      <w:proofErr w:type="spellStart"/>
      <w:r w:rsidRPr="007C2116">
        <w:rPr>
          <w:rFonts w:eastAsia="Calibri"/>
          <w:lang w:val="en-US"/>
        </w:rPr>
        <w:t>Wargaming</w:t>
      </w:r>
      <w:proofErr w:type="spellEnd"/>
      <w:r w:rsidRPr="007C2116">
        <w:rPr>
          <w:rFonts w:eastAsia="Calibri"/>
          <w:lang w:val="en-US"/>
        </w:rPr>
        <w:t xml:space="preserve"> the Defense of the Baltics” Santa Monica, CA: Rand Corporation, 2016</w:t>
      </w:r>
    </w:p>
    <w:p w14:paraId="48434CEE" w14:textId="45216851" w:rsidR="002F7548" w:rsidRPr="007C2116" w:rsidRDefault="00805C2F"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Sikorski, Dmitr</w:t>
      </w:r>
      <w:r w:rsidR="002F7548" w:rsidRPr="007C2116">
        <w:rPr>
          <w:rFonts w:eastAsia="Calibri"/>
          <w:lang w:val="en-US"/>
        </w:rPr>
        <w:t xml:space="preserve">i, “V </w:t>
      </w:r>
      <w:proofErr w:type="spellStart"/>
      <w:r w:rsidR="002F7548" w:rsidRPr="007C2116">
        <w:rPr>
          <w:rFonts w:eastAsia="Calibri"/>
          <w:lang w:val="en-US"/>
        </w:rPr>
        <w:t>poiskakh</w:t>
      </w:r>
      <w:proofErr w:type="spellEnd"/>
      <w:r w:rsidR="002F7548" w:rsidRPr="007C2116">
        <w:rPr>
          <w:rFonts w:eastAsia="Calibri"/>
          <w:lang w:val="en-US"/>
        </w:rPr>
        <w:t xml:space="preserve"> </w:t>
      </w:r>
      <w:proofErr w:type="spellStart"/>
      <w:r w:rsidR="002F7548" w:rsidRPr="007C2116">
        <w:rPr>
          <w:rFonts w:eastAsia="Calibri"/>
          <w:lang w:val="en-US"/>
        </w:rPr>
        <w:t>vragov</w:t>
      </w:r>
      <w:proofErr w:type="spellEnd"/>
      <w:r w:rsidR="002F7548" w:rsidRPr="007C2116">
        <w:rPr>
          <w:rFonts w:eastAsia="Calibri"/>
          <w:lang w:val="en-US"/>
        </w:rPr>
        <w:t xml:space="preserve">: NATO </w:t>
      </w:r>
      <w:proofErr w:type="spellStart"/>
      <w:r w:rsidR="002F7548" w:rsidRPr="007C2116">
        <w:rPr>
          <w:rFonts w:eastAsia="Calibri"/>
          <w:lang w:val="en-US"/>
        </w:rPr>
        <w:t>kak</w:t>
      </w:r>
      <w:proofErr w:type="spellEnd"/>
      <w:r w:rsidR="002F7548" w:rsidRPr="007C2116">
        <w:rPr>
          <w:rFonts w:eastAsia="Calibri"/>
          <w:lang w:val="en-US"/>
        </w:rPr>
        <w:t xml:space="preserve"> </w:t>
      </w:r>
      <w:proofErr w:type="spellStart"/>
      <w:r w:rsidR="002F7548" w:rsidRPr="007C2116">
        <w:rPr>
          <w:rFonts w:eastAsia="Calibri"/>
          <w:lang w:val="en-US"/>
        </w:rPr>
        <w:t>global’nyi</w:t>
      </w:r>
      <w:proofErr w:type="spellEnd"/>
      <w:r w:rsidR="002F7548" w:rsidRPr="007C2116">
        <w:rPr>
          <w:rFonts w:eastAsia="Calibri"/>
          <w:lang w:val="en-US"/>
        </w:rPr>
        <w:t xml:space="preserve"> instrument </w:t>
      </w:r>
      <w:proofErr w:type="spellStart"/>
      <w:r w:rsidR="002F7548" w:rsidRPr="007C2116">
        <w:rPr>
          <w:rFonts w:eastAsia="Calibri"/>
          <w:lang w:val="en-US"/>
        </w:rPr>
        <w:t>gegemonii</w:t>
      </w:r>
      <w:proofErr w:type="spellEnd"/>
      <w:r w:rsidR="002F7548" w:rsidRPr="007C2116">
        <w:rPr>
          <w:rFonts w:eastAsia="Calibri"/>
          <w:lang w:val="en-US"/>
        </w:rPr>
        <w:t xml:space="preserve"> </w:t>
      </w:r>
      <w:proofErr w:type="spellStart"/>
      <w:r w:rsidR="002F7548" w:rsidRPr="007C2116">
        <w:rPr>
          <w:rFonts w:eastAsia="Calibri"/>
          <w:lang w:val="en-US"/>
        </w:rPr>
        <w:t>i</w:t>
      </w:r>
      <w:proofErr w:type="spellEnd"/>
      <w:r w:rsidR="002F7548" w:rsidRPr="007C2116">
        <w:rPr>
          <w:rFonts w:eastAsia="Calibri"/>
          <w:lang w:val="en-US"/>
        </w:rPr>
        <w:t xml:space="preserve"> </w:t>
      </w:r>
      <w:proofErr w:type="spellStart"/>
      <w:r w:rsidR="002F7548" w:rsidRPr="007C2116">
        <w:rPr>
          <w:rFonts w:eastAsia="Calibri"/>
          <w:lang w:val="en-US"/>
        </w:rPr>
        <w:t>agresii</w:t>
      </w:r>
      <w:proofErr w:type="spellEnd"/>
      <w:r w:rsidR="002F7548" w:rsidRPr="007C2116">
        <w:rPr>
          <w:rFonts w:eastAsia="Calibri"/>
          <w:lang w:val="en-US"/>
        </w:rPr>
        <w:t xml:space="preserve">,” </w:t>
      </w:r>
      <w:r w:rsidRPr="007C2116">
        <w:rPr>
          <w:rFonts w:eastAsia="Calibri"/>
          <w:i/>
          <w:lang w:val="en-US"/>
        </w:rPr>
        <w:t>Russian Institute for</w:t>
      </w:r>
      <w:r w:rsidR="002F7548" w:rsidRPr="007C2116">
        <w:rPr>
          <w:rFonts w:eastAsia="Calibri"/>
          <w:i/>
          <w:lang w:val="en-US"/>
        </w:rPr>
        <w:t xml:space="preserve"> Strategic Studies</w:t>
      </w:r>
      <w:r w:rsidR="002F7548" w:rsidRPr="007C2116">
        <w:rPr>
          <w:rFonts w:eastAsia="Calibri"/>
          <w:lang w:val="en-US"/>
        </w:rPr>
        <w:t xml:space="preserve">, 20 </w:t>
      </w:r>
      <w:proofErr w:type="spellStart"/>
      <w:r w:rsidR="00776DB7" w:rsidRPr="007C2116">
        <w:rPr>
          <w:rFonts w:eastAsia="Calibri"/>
          <w:lang w:val="en-US"/>
        </w:rPr>
        <w:t>novemb</w:t>
      </w:r>
      <w:r w:rsidR="002F7548" w:rsidRPr="007C2116">
        <w:rPr>
          <w:rFonts w:eastAsia="Calibri"/>
          <w:lang w:val="en-US"/>
        </w:rPr>
        <w:t>r</w:t>
      </w:r>
      <w:r w:rsidR="00776DB7" w:rsidRPr="007C2116">
        <w:rPr>
          <w:rFonts w:eastAsia="Calibri"/>
          <w:lang w:val="en-US"/>
        </w:rPr>
        <w:t>e</w:t>
      </w:r>
      <w:proofErr w:type="spellEnd"/>
      <w:r w:rsidR="002F7548" w:rsidRPr="007C2116">
        <w:rPr>
          <w:rFonts w:eastAsia="Calibri"/>
          <w:lang w:val="en-US"/>
        </w:rPr>
        <w:t xml:space="preserve"> 2015, </w:t>
      </w:r>
      <w:hyperlink r:id="rId44" w:history="1">
        <w:r w:rsidR="00E601E0" w:rsidRPr="007C2116">
          <w:rPr>
            <w:rStyle w:val="Hyperlink"/>
            <w:rFonts w:eastAsia="Calibri"/>
            <w:color w:val="auto"/>
            <w:u w:val="none"/>
            <w:lang w:val="en-US"/>
          </w:rPr>
          <w:t>http://riss.ru/smi/23064/</w:t>
        </w:r>
      </w:hyperlink>
    </w:p>
    <w:p w14:paraId="5392119B" w14:textId="77777777" w:rsidR="00E601E0" w:rsidRPr="007C2116" w:rsidRDefault="00E601E0" w:rsidP="00E601E0">
      <w:pPr>
        <w:overflowPunct/>
        <w:autoSpaceDE/>
        <w:autoSpaceDN/>
        <w:adjustRightInd/>
        <w:ind w:left="709" w:hanging="709"/>
        <w:jc w:val="left"/>
        <w:textAlignment w:val="auto"/>
        <w:rPr>
          <w:rFonts w:eastAsia="Calibri"/>
          <w:lang w:val="en-US"/>
        </w:rPr>
      </w:pPr>
      <w:r w:rsidRPr="007C2116">
        <w:rPr>
          <w:lang w:val="en-US"/>
        </w:rPr>
        <w:t xml:space="preserve">Simón, Luis, "The 'Third' US Offset Strategy and Europe's 'Anti-access' Challenge," Journal of Strategic Studies, </w:t>
      </w:r>
      <w:r w:rsidRPr="007C2116">
        <w:rPr>
          <w:rFonts w:eastAsia="Calibri"/>
          <w:lang w:val="en-US"/>
        </w:rPr>
        <w:t>vol. 39, issue 3, 2016, http://www.tandfonline.com/doi/pdf/10.1080/01402390.2016.1163260?needAccess=true</w:t>
      </w:r>
    </w:p>
    <w:p w14:paraId="1543278A" w14:textId="00CB104C" w:rsidR="00E601E0" w:rsidRPr="007C2116" w:rsidRDefault="00E601E0" w:rsidP="00E601E0">
      <w:pPr>
        <w:tabs>
          <w:tab w:val="clear" w:pos="567"/>
        </w:tabs>
        <w:overflowPunct/>
        <w:autoSpaceDE/>
        <w:autoSpaceDN/>
        <w:adjustRightInd/>
        <w:ind w:left="720" w:hanging="720"/>
        <w:jc w:val="left"/>
        <w:textAlignment w:val="auto"/>
        <w:rPr>
          <w:rFonts w:eastAsia="Calibri"/>
          <w:lang w:val="en-US"/>
        </w:rPr>
      </w:pPr>
      <w:proofErr w:type="spellStart"/>
      <w:r w:rsidRPr="007C2116">
        <w:rPr>
          <w:lang w:val="en-US"/>
        </w:rPr>
        <w:t>Socor</w:t>
      </w:r>
      <w:proofErr w:type="spellEnd"/>
      <w:r w:rsidRPr="007C2116">
        <w:rPr>
          <w:lang w:val="en-US"/>
        </w:rPr>
        <w:t xml:space="preserve">, Vladimir, "NATO’s New Force Posture in the Baltic Region: Pluses and Minuses," The Jamestown Foundation, 3 </w:t>
      </w:r>
      <w:proofErr w:type="spellStart"/>
      <w:r w:rsidRPr="007C2116">
        <w:rPr>
          <w:lang w:val="en-US"/>
        </w:rPr>
        <w:t>août</w:t>
      </w:r>
      <w:proofErr w:type="spellEnd"/>
      <w:r w:rsidRPr="007C2116">
        <w:rPr>
          <w:lang w:val="en-US"/>
        </w:rPr>
        <w:t xml:space="preserve"> 2016, http://www.jamestown.org/single/?tx_ttnews%5Btt_news%5D=45707&amp;tx_ttnews%5BbackPid%5D=7&amp;cHash=c5abc64db18b0bee4c16f8509b5d7045#.V7_2H1uLQdX</w:t>
      </w:r>
    </w:p>
    <w:p w14:paraId="58EB1C07"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SWP &amp; Chatham House, “Implementing the NATO Wales Summit: From Strategy to Action (Part II),” </w:t>
      </w:r>
      <w:r w:rsidRPr="007C2116">
        <w:rPr>
          <w:rFonts w:eastAsia="Calibri"/>
          <w:i/>
          <w:lang w:val="en-US"/>
        </w:rPr>
        <w:t>US Project meeting summary</w:t>
      </w:r>
      <w:r w:rsidRPr="007C2116">
        <w:rPr>
          <w:rFonts w:eastAsia="Calibri"/>
          <w:lang w:val="en-US"/>
        </w:rPr>
        <w:t xml:space="preserve">, 26-27 </w:t>
      </w:r>
      <w:proofErr w:type="spellStart"/>
      <w:r w:rsidR="00776DB7" w:rsidRPr="007C2116">
        <w:rPr>
          <w:rFonts w:eastAsia="Calibri"/>
          <w:lang w:val="en-US"/>
        </w:rPr>
        <w:t>février</w:t>
      </w:r>
      <w:proofErr w:type="spellEnd"/>
      <w:r w:rsidRPr="007C2116">
        <w:rPr>
          <w:rFonts w:eastAsia="Calibri"/>
          <w:lang w:val="en-US"/>
        </w:rPr>
        <w:t xml:space="preserve"> 2015,</w:t>
      </w:r>
    </w:p>
    <w:p w14:paraId="4E9F2304"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TASS(a), “</w:t>
      </w:r>
      <w:proofErr w:type="spellStart"/>
      <w:r w:rsidRPr="007C2116">
        <w:rPr>
          <w:rFonts w:eastAsia="Calibri"/>
          <w:lang w:val="en-US"/>
        </w:rPr>
        <w:t>Protivoyadie</w:t>
      </w:r>
      <w:proofErr w:type="spellEnd"/>
      <w:r w:rsidRPr="007C2116">
        <w:rPr>
          <w:rFonts w:eastAsia="Calibri"/>
          <w:lang w:val="en-US"/>
        </w:rPr>
        <w:t xml:space="preserve"> </w:t>
      </w:r>
      <w:proofErr w:type="spellStart"/>
      <w:r w:rsidRPr="007C2116">
        <w:rPr>
          <w:rFonts w:eastAsia="Calibri"/>
          <w:lang w:val="en-US"/>
        </w:rPr>
        <w:t>dlia</w:t>
      </w:r>
      <w:proofErr w:type="spellEnd"/>
      <w:r w:rsidRPr="007C2116">
        <w:rPr>
          <w:rFonts w:eastAsia="Calibri"/>
          <w:lang w:val="en-US"/>
        </w:rPr>
        <w:t xml:space="preserve"> </w:t>
      </w:r>
      <w:proofErr w:type="spellStart"/>
      <w:r w:rsidRPr="007C2116">
        <w:rPr>
          <w:rFonts w:eastAsia="Calibri"/>
          <w:lang w:val="en-US"/>
        </w:rPr>
        <w:t>zapadnykh</w:t>
      </w:r>
      <w:proofErr w:type="spellEnd"/>
      <w:r w:rsidRPr="007C2116">
        <w:rPr>
          <w:rFonts w:eastAsia="Calibri"/>
          <w:lang w:val="en-US"/>
        </w:rPr>
        <w:t xml:space="preserve"> </w:t>
      </w:r>
      <w:proofErr w:type="spellStart"/>
      <w:r w:rsidRPr="007C2116">
        <w:rPr>
          <w:rFonts w:eastAsia="Calibri"/>
          <w:lang w:val="en-US"/>
        </w:rPr>
        <w:t>rubezhei</w:t>
      </w:r>
      <w:proofErr w:type="spellEnd"/>
      <w:r w:rsidRPr="007C2116">
        <w:rPr>
          <w:rFonts w:eastAsia="Calibri"/>
          <w:lang w:val="en-US"/>
        </w:rPr>
        <w:t xml:space="preserve">: </w:t>
      </w:r>
      <w:proofErr w:type="spellStart"/>
      <w:r w:rsidRPr="007C2116">
        <w:rPr>
          <w:rFonts w:eastAsia="Calibri"/>
          <w:lang w:val="en-US"/>
        </w:rPr>
        <w:t>chem</w:t>
      </w:r>
      <w:proofErr w:type="spellEnd"/>
      <w:r w:rsidRPr="007C2116">
        <w:rPr>
          <w:rFonts w:eastAsia="Calibri"/>
          <w:lang w:val="en-US"/>
        </w:rPr>
        <w:t xml:space="preserve"> RF </w:t>
      </w:r>
      <w:proofErr w:type="spellStart"/>
      <w:r w:rsidRPr="007C2116">
        <w:rPr>
          <w:rFonts w:eastAsia="Calibri"/>
          <w:lang w:val="en-US"/>
        </w:rPr>
        <w:t>otvetit</w:t>
      </w:r>
      <w:proofErr w:type="spellEnd"/>
      <w:r w:rsidRPr="007C2116">
        <w:rPr>
          <w:rFonts w:eastAsia="Calibri"/>
          <w:lang w:val="en-US"/>
        </w:rPr>
        <w:t xml:space="preserve"> </w:t>
      </w:r>
      <w:proofErr w:type="spellStart"/>
      <w:r w:rsidRPr="007C2116">
        <w:rPr>
          <w:rFonts w:eastAsia="Calibri"/>
          <w:lang w:val="en-US"/>
        </w:rPr>
        <w:t>na</w:t>
      </w:r>
      <w:proofErr w:type="spellEnd"/>
      <w:r w:rsidRPr="007C2116">
        <w:rPr>
          <w:rFonts w:eastAsia="Calibri"/>
          <w:lang w:val="en-US"/>
        </w:rPr>
        <w:t xml:space="preserve"> </w:t>
      </w:r>
      <w:proofErr w:type="spellStart"/>
      <w:r w:rsidRPr="007C2116">
        <w:rPr>
          <w:rFonts w:eastAsia="Calibri"/>
          <w:lang w:val="en-US"/>
        </w:rPr>
        <w:t>usilenie</w:t>
      </w:r>
      <w:proofErr w:type="spellEnd"/>
      <w:r w:rsidRPr="007C2116">
        <w:rPr>
          <w:rFonts w:eastAsia="Calibri"/>
          <w:lang w:val="en-US"/>
        </w:rPr>
        <w:t xml:space="preserve"> </w:t>
      </w:r>
      <w:proofErr w:type="spellStart"/>
      <w:r w:rsidRPr="007C2116">
        <w:rPr>
          <w:rFonts w:eastAsia="Calibri"/>
          <w:lang w:val="en-US"/>
        </w:rPr>
        <w:t>baz</w:t>
      </w:r>
      <w:proofErr w:type="spellEnd"/>
      <w:r w:rsidRPr="007C2116">
        <w:rPr>
          <w:rFonts w:eastAsia="Calibri"/>
          <w:lang w:val="en-US"/>
        </w:rPr>
        <w:t xml:space="preserve"> NATO v </w:t>
      </w:r>
      <w:proofErr w:type="spellStart"/>
      <w:r w:rsidRPr="007C2116">
        <w:rPr>
          <w:rFonts w:eastAsia="Calibri"/>
          <w:lang w:val="en-US"/>
        </w:rPr>
        <w:t>Vostochnoi</w:t>
      </w:r>
      <w:proofErr w:type="spellEnd"/>
      <w:r w:rsidRPr="007C2116">
        <w:rPr>
          <w:rFonts w:eastAsia="Calibri"/>
          <w:lang w:val="en-US"/>
        </w:rPr>
        <w:t xml:space="preserve"> </w:t>
      </w:r>
      <w:proofErr w:type="spellStart"/>
      <w:r w:rsidRPr="007C2116">
        <w:rPr>
          <w:rFonts w:eastAsia="Calibri"/>
          <w:lang w:val="en-US"/>
        </w:rPr>
        <w:t>Evrope</w:t>
      </w:r>
      <w:proofErr w:type="spellEnd"/>
      <w:r w:rsidRPr="007C2116">
        <w:rPr>
          <w:rFonts w:eastAsia="Calibri"/>
          <w:lang w:val="en-US"/>
        </w:rPr>
        <w:t xml:space="preserve">,” 14 </w:t>
      </w:r>
      <w:proofErr w:type="spellStart"/>
      <w:r w:rsidR="00776DB7" w:rsidRPr="007C2116">
        <w:rPr>
          <w:rFonts w:eastAsia="Calibri"/>
          <w:lang w:val="en-US"/>
        </w:rPr>
        <w:t>janvier</w:t>
      </w:r>
      <w:proofErr w:type="spellEnd"/>
      <w:r w:rsidRPr="007C2116">
        <w:rPr>
          <w:rFonts w:eastAsia="Calibri"/>
          <w:lang w:val="en-US"/>
        </w:rPr>
        <w:t xml:space="preserve"> 2016, http://tass.ru/opinions/2586466</w:t>
      </w:r>
    </w:p>
    <w:p w14:paraId="4A0F2E90"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TASS(b), “</w:t>
      </w:r>
      <w:proofErr w:type="spellStart"/>
      <w:r w:rsidRPr="007C2116">
        <w:rPr>
          <w:rFonts w:eastAsia="Calibri"/>
          <w:lang w:val="en-US"/>
        </w:rPr>
        <w:t>Shoigu</w:t>
      </w:r>
      <w:proofErr w:type="spellEnd"/>
      <w:r w:rsidRPr="007C2116">
        <w:rPr>
          <w:rFonts w:eastAsia="Calibri"/>
          <w:lang w:val="en-US"/>
        </w:rPr>
        <w:t xml:space="preserve">: </w:t>
      </w:r>
      <w:proofErr w:type="spellStart"/>
      <w:r w:rsidRPr="007C2116">
        <w:rPr>
          <w:rFonts w:eastAsia="Calibri"/>
          <w:lang w:val="en-US"/>
        </w:rPr>
        <w:t>Minoborony</w:t>
      </w:r>
      <w:proofErr w:type="spellEnd"/>
      <w:r w:rsidRPr="007C2116">
        <w:rPr>
          <w:rFonts w:eastAsia="Calibri"/>
          <w:lang w:val="en-US"/>
        </w:rPr>
        <w:t xml:space="preserve"> RF v 2016 </w:t>
      </w:r>
      <w:proofErr w:type="spellStart"/>
      <w:r w:rsidRPr="007C2116">
        <w:rPr>
          <w:rFonts w:eastAsia="Calibri"/>
          <w:lang w:val="en-US"/>
        </w:rPr>
        <w:t>godu</w:t>
      </w:r>
      <w:proofErr w:type="spellEnd"/>
      <w:r w:rsidRPr="007C2116">
        <w:rPr>
          <w:rFonts w:eastAsia="Calibri"/>
          <w:lang w:val="en-US"/>
        </w:rPr>
        <w:t xml:space="preserve"> </w:t>
      </w:r>
      <w:proofErr w:type="spellStart"/>
      <w:r w:rsidRPr="007C2116">
        <w:rPr>
          <w:rFonts w:eastAsia="Calibri"/>
          <w:lang w:val="en-US"/>
        </w:rPr>
        <w:t>sformiruet</w:t>
      </w:r>
      <w:proofErr w:type="spellEnd"/>
      <w:r w:rsidRPr="007C2116">
        <w:rPr>
          <w:rFonts w:eastAsia="Calibri"/>
          <w:lang w:val="en-US"/>
        </w:rPr>
        <w:t xml:space="preserve"> tri </w:t>
      </w:r>
      <w:proofErr w:type="spellStart"/>
      <w:r w:rsidRPr="007C2116">
        <w:rPr>
          <w:rFonts w:eastAsia="Calibri"/>
          <w:lang w:val="en-US"/>
        </w:rPr>
        <w:t>novye</w:t>
      </w:r>
      <w:proofErr w:type="spellEnd"/>
      <w:r w:rsidRPr="007C2116">
        <w:rPr>
          <w:rFonts w:eastAsia="Calibri"/>
          <w:lang w:val="en-US"/>
        </w:rPr>
        <w:t xml:space="preserve"> </w:t>
      </w:r>
      <w:proofErr w:type="spellStart"/>
      <w:r w:rsidRPr="007C2116">
        <w:rPr>
          <w:rFonts w:eastAsia="Calibri"/>
          <w:lang w:val="en-US"/>
        </w:rPr>
        <w:t>divizii</w:t>
      </w:r>
      <w:proofErr w:type="spellEnd"/>
      <w:r w:rsidRPr="007C2116">
        <w:rPr>
          <w:rFonts w:eastAsia="Calibri"/>
          <w:lang w:val="en-US"/>
        </w:rPr>
        <w:t xml:space="preserve"> </w:t>
      </w:r>
      <w:proofErr w:type="spellStart"/>
      <w:r w:rsidRPr="007C2116">
        <w:rPr>
          <w:rFonts w:eastAsia="Calibri"/>
          <w:lang w:val="en-US"/>
        </w:rPr>
        <w:t>na</w:t>
      </w:r>
      <w:proofErr w:type="spellEnd"/>
      <w:r w:rsidRPr="007C2116">
        <w:rPr>
          <w:rFonts w:eastAsia="Calibri"/>
          <w:lang w:val="en-US"/>
        </w:rPr>
        <w:t xml:space="preserve"> </w:t>
      </w:r>
      <w:proofErr w:type="spellStart"/>
      <w:r w:rsidRPr="007C2116">
        <w:rPr>
          <w:rFonts w:eastAsia="Calibri"/>
          <w:lang w:val="en-US"/>
        </w:rPr>
        <w:t>zapadnom</w:t>
      </w:r>
      <w:proofErr w:type="spellEnd"/>
      <w:r w:rsidRPr="007C2116">
        <w:rPr>
          <w:rFonts w:eastAsia="Calibri"/>
          <w:lang w:val="en-US"/>
        </w:rPr>
        <w:t xml:space="preserve"> </w:t>
      </w:r>
      <w:proofErr w:type="spellStart"/>
      <w:r w:rsidRPr="007C2116">
        <w:rPr>
          <w:rFonts w:eastAsia="Calibri"/>
          <w:lang w:val="en-US"/>
        </w:rPr>
        <w:t>napravlenii</w:t>
      </w:r>
      <w:proofErr w:type="spellEnd"/>
      <w:r w:rsidRPr="007C2116">
        <w:rPr>
          <w:rFonts w:eastAsia="Calibri"/>
          <w:lang w:val="en-US"/>
        </w:rPr>
        <w:t xml:space="preserve">,” 12 </w:t>
      </w:r>
      <w:proofErr w:type="spellStart"/>
      <w:r w:rsidR="00776DB7" w:rsidRPr="007C2116">
        <w:rPr>
          <w:rFonts w:eastAsia="Calibri"/>
          <w:lang w:val="en-US"/>
        </w:rPr>
        <w:t>janvier</w:t>
      </w:r>
      <w:proofErr w:type="spellEnd"/>
      <w:r w:rsidRPr="007C2116">
        <w:rPr>
          <w:rFonts w:eastAsia="Calibri"/>
          <w:lang w:val="en-US"/>
        </w:rPr>
        <w:t xml:space="preserve"> 2016, http://tass.ru/armiya-i-opk/2579480</w:t>
      </w:r>
    </w:p>
    <w:p w14:paraId="437A298C"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TASS(c), “</w:t>
      </w:r>
      <w:proofErr w:type="spellStart"/>
      <w:r w:rsidRPr="007C2116">
        <w:rPr>
          <w:rFonts w:eastAsia="Calibri"/>
          <w:lang w:val="en-US"/>
        </w:rPr>
        <w:t>Minoborony</w:t>
      </w:r>
      <w:proofErr w:type="spellEnd"/>
      <w:r w:rsidRPr="007C2116">
        <w:rPr>
          <w:rFonts w:eastAsia="Calibri"/>
          <w:lang w:val="en-US"/>
        </w:rPr>
        <w:t xml:space="preserve"> RF </w:t>
      </w:r>
      <w:proofErr w:type="spellStart"/>
      <w:r w:rsidRPr="007C2116">
        <w:rPr>
          <w:rFonts w:eastAsia="Calibri"/>
          <w:lang w:val="en-US"/>
        </w:rPr>
        <w:t>podvelo</w:t>
      </w:r>
      <w:proofErr w:type="spellEnd"/>
      <w:r w:rsidRPr="007C2116">
        <w:rPr>
          <w:rFonts w:eastAsia="Calibri"/>
          <w:lang w:val="en-US"/>
        </w:rPr>
        <w:t xml:space="preserve"> </w:t>
      </w:r>
      <w:proofErr w:type="spellStart"/>
      <w:r w:rsidRPr="007C2116">
        <w:rPr>
          <w:rFonts w:eastAsia="Calibri"/>
          <w:lang w:val="en-US"/>
        </w:rPr>
        <w:t>itogi</w:t>
      </w:r>
      <w:proofErr w:type="spellEnd"/>
      <w:r w:rsidRPr="007C2116">
        <w:rPr>
          <w:rFonts w:eastAsia="Calibri"/>
          <w:lang w:val="en-US"/>
        </w:rPr>
        <w:t xml:space="preserve"> 2015 </w:t>
      </w:r>
      <w:proofErr w:type="spellStart"/>
      <w:r w:rsidRPr="007C2116">
        <w:rPr>
          <w:rFonts w:eastAsia="Calibri"/>
          <w:lang w:val="en-US"/>
        </w:rPr>
        <w:t>goda</w:t>
      </w:r>
      <w:proofErr w:type="spellEnd"/>
      <w:r w:rsidRPr="007C2116">
        <w:rPr>
          <w:rFonts w:eastAsia="Calibri"/>
          <w:lang w:val="en-US"/>
        </w:rPr>
        <w:t xml:space="preserve"> – </w:t>
      </w:r>
      <w:proofErr w:type="spellStart"/>
      <w:r w:rsidRPr="007C2116">
        <w:rPr>
          <w:rFonts w:eastAsia="Calibri"/>
          <w:lang w:val="en-US"/>
        </w:rPr>
        <w:t>ug</w:t>
      </w:r>
      <w:r w:rsidR="00776DB7" w:rsidRPr="007C2116">
        <w:rPr>
          <w:rFonts w:eastAsia="Calibri"/>
          <w:lang w:val="en-US"/>
        </w:rPr>
        <w:t>rozy</w:t>
      </w:r>
      <w:proofErr w:type="spellEnd"/>
      <w:r w:rsidR="00776DB7" w:rsidRPr="007C2116">
        <w:rPr>
          <w:rFonts w:eastAsia="Calibri"/>
          <w:lang w:val="en-US"/>
        </w:rPr>
        <w:t xml:space="preserve"> </w:t>
      </w:r>
      <w:proofErr w:type="spellStart"/>
      <w:r w:rsidR="00776DB7" w:rsidRPr="007C2116">
        <w:rPr>
          <w:rFonts w:eastAsia="Calibri"/>
          <w:lang w:val="en-US"/>
        </w:rPr>
        <w:t>rastut</w:t>
      </w:r>
      <w:proofErr w:type="spellEnd"/>
      <w:r w:rsidR="00776DB7" w:rsidRPr="007C2116">
        <w:rPr>
          <w:rFonts w:eastAsia="Calibri"/>
          <w:lang w:val="en-US"/>
        </w:rPr>
        <w:t xml:space="preserve">, </w:t>
      </w:r>
      <w:proofErr w:type="spellStart"/>
      <w:r w:rsidR="00776DB7" w:rsidRPr="007C2116">
        <w:rPr>
          <w:rFonts w:eastAsia="Calibri"/>
          <w:lang w:val="en-US"/>
        </w:rPr>
        <w:t>armia</w:t>
      </w:r>
      <w:proofErr w:type="spellEnd"/>
      <w:r w:rsidR="00776DB7" w:rsidRPr="007C2116">
        <w:rPr>
          <w:rFonts w:eastAsia="Calibri"/>
          <w:lang w:val="en-US"/>
        </w:rPr>
        <w:t xml:space="preserve"> </w:t>
      </w:r>
      <w:proofErr w:type="spellStart"/>
      <w:r w:rsidR="00776DB7" w:rsidRPr="007C2116">
        <w:rPr>
          <w:rFonts w:eastAsia="Calibri"/>
          <w:lang w:val="en-US"/>
        </w:rPr>
        <w:t>krepnet</w:t>
      </w:r>
      <w:proofErr w:type="spellEnd"/>
      <w:r w:rsidR="00776DB7" w:rsidRPr="007C2116">
        <w:rPr>
          <w:rFonts w:eastAsia="Calibri"/>
          <w:lang w:val="en-US"/>
        </w:rPr>
        <w:t>,” 11 </w:t>
      </w:r>
      <w:proofErr w:type="spellStart"/>
      <w:r w:rsidR="00776DB7" w:rsidRPr="007C2116">
        <w:rPr>
          <w:rFonts w:eastAsia="Calibri"/>
          <w:lang w:val="en-US"/>
        </w:rPr>
        <w:t>décembre</w:t>
      </w:r>
      <w:proofErr w:type="spellEnd"/>
      <w:r w:rsidR="00776DB7" w:rsidRPr="007C2116">
        <w:rPr>
          <w:rFonts w:eastAsia="Calibri"/>
          <w:lang w:val="en-US"/>
        </w:rPr>
        <w:t> </w:t>
      </w:r>
      <w:r w:rsidRPr="007C2116">
        <w:rPr>
          <w:rFonts w:eastAsia="Calibri"/>
          <w:lang w:val="en-US"/>
        </w:rPr>
        <w:t xml:space="preserve">2015, </w:t>
      </w:r>
      <w:hyperlink r:id="rId45" w:history="1">
        <w:r w:rsidRPr="007C2116">
          <w:rPr>
            <w:rFonts w:eastAsia="Calibri"/>
            <w:lang w:val="en-US"/>
          </w:rPr>
          <w:t>http://tass.ru/armiya-i-opk/2521727</w:t>
        </w:r>
      </w:hyperlink>
    </w:p>
    <w:p w14:paraId="4098B487"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TASS(d), “</w:t>
      </w:r>
      <w:proofErr w:type="spellStart"/>
      <w:r w:rsidRPr="007C2116">
        <w:rPr>
          <w:rFonts w:eastAsia="Calibri"/>
          <w:lang w:val="en-US"/>
        </w:rPr>
        <w:t>Minoborony</w:t>
      </w:r>
      <w:proofErr w:type="spellEnd"/>
      <w:r w:rsidRPr="007C2116">
        <w:rPr>
          <w:rFonts w:eastAsia="Calibri"/>
          <w:lang w:val="en-US"/>
        </w:rPr>
        <w:t xml:space="preserve">: </w:t>
      </w:r>
      <w:proofErr w:type="spellStart"/>
      <w:r w:rsidRPr="007C2116">
        <w:rPr>
          <w:rFonts w:eastAsia="Calibri"/>
          <w:lang w:val="en-US"/>
        </w:rPr>
        <w:t>Perevooruzhit</w:t>
      </w:r>
      <w:proofErr w:type="spellEnd"/>
      <w:r w:rsidRPr="007C2116">
        <w:rPr>
          <w:rFonts w:eastAsia="Calibri"/>
          <w:lang w:val="en-US"/>
        </w:rPr>
        <w:t xml:space="preserve">’ </w:t>
      </w:r>
      <w:proofErr w:type="spellStart"/>
      <w:r w:rsidRPr="007C2116">
        <w:rPr>
          <w:rFonts w:eastAsia="Calibri"/>
          <w:lang w:val="en-US"/>
        </w:rPr>
        <w:t>vse</w:t>
      </w:r>
      <w:proofErr w:type="spellEnd"/>
      <w:r w:rsidRPr="007C2116">
        <w:rPr>
          <w:rFonts w:eastAsia="Calibri"/>
          <w:lang w:val="en-US"/>
        </w:rPr>
        <w:t xml:space="preserve"> </w:t>
      </w:r>
      <w:proofErr w:type="spellStart"/>
      <w:r w:rsidRPr="007C2116">
        <w:rPr>
          <w:rFonts w:eastAsia="Calibri"/>
          <w:lang w:val="en-US"/>
        </w:rPr>
        <w:t>divizii</w:t>
      </w:r>
      <w:proofErr w:type="spellEnd"/>
      <w:r w:rsidRPr="007C2116">
        <w:rPr>
          <w:rFonts w:eastAsia="Calibri"/>
          <w:lang w:val="en-US"/>
        </w:rPr>
        <w:t xml:space="preserve"> RVSN </w:t>
      </w:r>
      <w:proofErr w:type="spellStart"/>
      <w:r w:rsidRPr="007C2116">
        <w:rPr>
          <w:rFonts w:eastAsia="Calibri"/>
          <w:lang w:val="en-US"/>
        </w:rPr>
        <w:t>na</w:t>
      </w:r>
      <w:proofErr w:type="spellEnd"/>
      <w:r w:rsidRPr="007C2116">
        <w:rPr>
          <w:rFonts w:eastAsia="Calibri"/>
          <w:lang w:val="en-US"/>
        </w:rPr>
        <w:t xml:space="preserve"> ‘</w:t>
      </w:r>
      <w:proofErr w:type="spellStart"/>
      <w:r w:rsidRPr="007C2116">
        <w:rPr>
          <w:rFonts w:eastAsia="Calibri"/>
          <w:lang w:val="en-US"/>
        </w:rPr>
        <w:t>Yars</w:t>
      </w:r>
      <w:proofErr w:type="spellEnd"/>
      <w:r w:rsidRPr="007C2116">
        <w:rPr>
          <w:rFonts w:eastAsia="Calibri"/>
          <w:lang w:val="en-US"/>
        </w:rPr>
        <w:t xml:space="preserve">’ I RS-26 </w:t>
      </w:r>
      <w:proofErr w:type="spellStart"/>
      <w:r w:rsidRPr="007C2116">
        <w:rPr>
          <w:rFonts w:eastAsia="Calibri"/>
          <w:lang w:val="en-US"/>
        </w:rPr>
        <w:t>planiruetsya</w:t>
      </w:r>
      <w:proofErr w:type="spellEnd"/>
      <w:r w:rsidRPr="007C2116">
        <w:rPr>
          <w:rFonts w:eastAsia="Calibri"/>
          <w:lang w:val="en-US"/>
        </w:rPr>
        <w:t xml:space="preserve"> v 2021 god,” 21 </w:t>
      </w:r>
      <w:proofErr w:type="spellStart"/>
      <w:r w:rsidR="00776DB7" w:rsidRPr="007C2116">
        <w:rPr>
          <w:rFonts w:eastAsia="Calibri"/>
          <w:lang w:val="en-US"/>
        </w:rPr>
        <w:t>juillet</w:t>
      </w:r>
      <w:proofErr w:type="spellEnd"/>
      <w:r w:rsidRPr="007C2116">
        <w:rPr>
          <w:rFonts w:eastAsia="Calibri"/>
          <w:lang w:val="en-US"/>
        </w:rPr>
        <w:t xml:space="preserve"> 2015, </w:t>
      </w:r>
      <w:hyperlink r:id="rId46" w:history="1">
        <w:r w:rsidRPr="007C2116">
          <w:rPr>
            <w:rFonts w:eastAsia="Calibri"/>
            <w:lang w:val="en-US"/>
          </w:rPr>
          <w:t>http://tass.ru/armiya-i-opk/2132865</w:t>
        </w:r>
      </w:hyperlink>
    </w:p>
    <w:p w14:paraId="3D5282A0"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The Kremlin, “</w:t>
      </w:r>
      <w:proofErr w:type="spellStart"/>
      <w:r w:rsidRPr="007C2116">
        <w:rPr>
          <w:rFonts w:eastAsia="Calibri"/>
          <w:lang w:val="en-US"/>
        </w:rPr>
        <w:t>Ukaz</w:t>
      </w:r>
      <w:proofErr w:type="spellEnd"/>
      <w:r w:rsidRPr="007C2116">
        <w:rPr>
          <w:rFonts w:eastAsia="Calibri"/>
          <w:lang w:val="en-US"/>
        </w:rPr>
        <w:t xml:space="preserve"> </w:t>
      </w:r>
      <w:proofErr w:type="spellStart"/>
      <w:r w:rsidRPr="007C2116">
        <w:rPr>
          <w:rFonts w:eastAsia="Calibri"/>
          <w:lang w:val="en-US"/>
        </w:rPr>
        <w:t>Prezidenta</w:t>
      </w:r>
      <w:proofErr w:type="spellEnd"/>
      <w:r w:rsidRPr="007C2116">
        <w:rPr>
          <w:rFonts w:eastAsia="Calibri"/>
          <w:lang w:val="en-US"/>
        </w:rPr>
        <w:t xml:space="preserve"> </w:t>
      </w:r>
      <w:proofErr w:type="spellStart"/>
      <w:r w:rsidRPr="007C2116">
        <w:rPr>
          <w:rFonts w:eastAsia="Calibri"/>
          <w:lang w:val="en-US"/>
        </w:rPr>
        <w:t>Rossiyskoi</w:t>
      </w:r>
      <w:proofErr w:type="spellEnd"/>
      <w:r w:rsidRPr="007C2116">
        <w:rPr>
          <w:rFonts w:eastAsia="Calibri"/>
          <w:lang w:val="en-US"/>
        </w:rPr>
        <w:t xml:space="preserve"> </w:t>
      </w:r>
      <w:proofErr w:type="spellStart"/>
      <w:r w:rsidRPr="007C2116">
        <w:rPr>
          <w:rFonts w:eastAsia="Calibri"/>
          <w:lang w:val="en-US"/>
        </w:rPr>
        <w:t>Federatsii</w:t>
      </w:r>
      <w:proofErr w:type="spellEnd"/>
      <w:r w:rsidRPr="007C2116">
        <w:rPr>
          <w:rFonts w:eastAsia="Calibri"/>
          <w:lang w:val="en-US"/>
        </w:rPr>
        <w:t xml:space="preserve"> o </w:t>
      </w:r>
      <w:proofErr w:type="spellStart"/>
      <w:r w:rsidRPr="007C2116">
        <w:rPr>
          <w:rFonts w:eastAsia="Calibri"/>
          <w:lang w:val="en-US"/>
        </w:rPr>
        <w:t>Strategii</w:t>
      </w:r>
      <w:proofErr w:type="spellEnd"/>
      <w:r w:rsidRPr="007C2116">
        <w:rPr>
          <w:rFonts w:eastAsia="Calibri"/>
          <w:lang w:val="en-US"/>
        </w:rPr>
        <w:t xml:space="preserve"> </w:t>
      </w:r>
      <w:proofErr w:type="spellStart"/>
      <w:r w:rsidRPr="007C2116">
        <w:rPr>
          <w:rFonts w:eastAsia="Calibri"/>
          <w:lang w:val="en-US"/>
        </w:rPr>
        <w:t>Natsional’noi</w:t>
      </w:r>
      <w:proofErr w:type="spellEnd"/>
      <w:r w:rsidRPr="007C2116">
        <w:rPr>
          <w:rFonts w:eastAsia="Calibri"/>
          <w:lang w:val="en-US"/>
        </w:rPr>
        <w:t xml:space="preserve"> </w:t>
      </w:r>
      <w:proofErr w:type="spellStart"/>
      <w:r w:rsidRPr="007C2116">
        <w:rPr>
          <w:rFonts w:eastAsia="Calibri"/>
          <w:lang w:val="en-US"/>
        </w:rPr>
        <w:t>Bezopasnosti</w:t>
      </w:r>
      <w:proofErr w:type="spellEnd"/>
      <w:r w:rsidRPr="007C2116">
        <w:rPr>
          <w:rFonts w:eastAsia="Calibri"/>
          <w:lang w:val="en-US"/>
        </w:rPr>
        <w:t xml:space="preserve">,” No. 683, 31 </w:t>
      </w:r>
      <w:proofErr w:type="spellStart"/>
      <w:r w:rsidR="00776DB7" w:rsidRPr="007C2116">
        <w:rPr>
          <w:rFonts w:eastAsia="Calibri"/>
          <w:lang w:val="en-US"/>
        </w:rPr>
        <w:t>décembre</w:t>
      </w:r>
      <w:proofErr w:type="spellEnd"/>
      <w:r w:rsidRPr="007C2116">
        <w:rPr>
          <w:rFonts w:eastAsia="Calibri"/>
          <w:lang w:val="en-US"/>
        </w:rPr>
        <w:t xml:space="preserve"> 2015, </w:t>
      </w:r>
      <w:hyperlink r:id="rId47" w:history="1">
        <w:r w:rsidRPr="007C2116">
          <w:rPr>
            <w:rFonts w:eastAsia="Calibri"/>
            <w:lang w:val="en-US"/>
          </w:rPr>
          <w:t>http://static.kremlin.ru/media/events/files/ru/l8iXkR8XLAtxeilX7JK3XXy6Y0AsHD5v.pdf</w:t>
        </w:r>
      </w:hyperlink>
    </w:p>
    <w:p w14:paraId="2169F6F7" w14:textId="12A15B8D"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The Kremlin, “</w:t>
      </w:r>
      <w:proofErr w:type="spellStart"/>
      <w:r w:rsidRPr="007C2116">
        <w:rPr>
          <w:rFonts w:eastAsia="Calibri"/>
          <w:lang w:val="en-US"/>
        </w:rPr>
        <w:t>Poseshchenie</w:t>
      </w:r>
      <w:proofErr w:type="spellEnd"/>
      <w:r w:rsidRPr="007C2116">
        <w:rPr>
          <w:rFonts w:eastAsia="Calibri"/>
          <w:lang w:val="en-US"/>
        </w:rPr>
        <w:t xml:space="preserve"> </w:t>
      </w:r>
      <w:proofErr w:type="spellStart"/>
      <w:r w:rsidRPr="007C2116">
        <w:rPr>
          <w:rFonts w:eastAsia="Calibri"/>
          <w:lang w:val="en-US"/>
        </w:rPr>
        <w:t>Natsional’nogo</w:t>
      </w:r>
      <w:proofErr w:type="spellEnd"/>
      <w:r w:rsidRPr="007C2116">
        <w:rPr>
          <w:rFonts w:eastAsia="Calibri"/>
          <w:lang w:val="en-US"/>
        </w:rPr>
        <w:t xml:space="preserve"> </w:t>
      </w:r>
      <w:proofErr w:type="spellStart"/>
      <w:r w:rsidRPr="007C2116">
        <w:rPr>
          <w:rFonts w:eastAsia="Calibri"/>
          <w:lang w:val="en-US"/>
        </w:rPr>
        <w:t>tsentra</w:t>
      </w:r>
      <w:proofErr w:type="spellEnd"/>
      <w:r w:rsidRPr="007C2116">
        <w:rPr>
          <w:rFonts w:eastAsia="Calibri"/>
          <w:lang w:val="en-US"/>
        </w:rPr>
        <w:t xml:space="preserve"> </w:t>
      </w:r>
      <w:proofErr w:type="spellStart"/>
      <w:r w:rsidRPr="007C2116">
        <w:rPr>
          <w:rFonts w:eastAsia="Calibri"/>
          <w:lang w:val="en-US"/>
        </w:rPr>
        <w:t>upravlenia</w:t>
      </w:r>
      <w:proofErr w:type="spellEnd"/>
      <w:r w:rsidRPr="007C2116">
        <w:rPr>
          <w:rFonts w:eastAsia="Calibri"/>
          <w:lang w:val="en-US"/>
        </w:rPr>
        <w:t xml:space="preserve"> </w:t>
      </w:r>
      <w:proofErr w:type="spellStart"/>
      <w:r w:rsidRPr="007C2116">
        <w:rPr>
          <w:rFonts w:eastAsia="Calibri"/>
          <w:lang w:val="en-US"/>
        </w:rPr>
        <w:t>oboronoi</w:t>
      </w:r>
      <w:proofErr w:type="spellEnd"/>
      <w:r w:rsidRPr="007C2116">
        <w:rPr>
          <w:rFonts w:eastAsia="Calibri"/>
          <w:lang w:val="en-US"/>
        </w:rPr>
        <w:t xml:space="preserve">,” 8 </w:t>
      </w:r>
      <w:proofErr w:type="spellStart"/>
      <w:r w:rsidR="00776DB7" w:rsidRPr="007C2116">
        <w:rPr>
          <w:rFonts w:eastAsia="Calibri"/>
          <w:lang w:val="en-US"/>
        </w:rPr>
        <w:t>mai</w:t>
      </w:r>
      <w:proofErr w:type="spellEnd"/>
      <w:r w:rsidR="00776DB7" w:rsidRPr="007C2116">
        <w:rPr>
          <w:rFonts w:eastAsia="Calibri"/>
          <w:lang w:val="en-US"/>
        </w:rPr>
        <w:t xml:space="preserve"> </w:t>
      </w:r>
      <w:r w:rsidRPr="007C2116">
        <w:rPr>
          <w:rFonts w:eastAsia="Calibri"/>
          <w:lang w:val="en-US"/>
        </w:rPr>
        <w:t xml:space="preserve">2014, </w:t>
      </w:r>
      <w:hyperlink r:id="rId48" w:history="1">
        <w:r w:rsidR="00E601E0" w:rsidRPr="007C2116">
          <w:rPr>
            <w:rStyle w:val="Hyperlink"/>
            <w:rFonts w:eastAsia="Calibri"/>
            <w:color w:val="auto"/>
            <w:u w:val="none"/>
            <w:lang w:val="en-US"/>
          </w:rPr>
          <w:t>http://kremlin.ru/events/president/news/20979</w:t>
        </w:r>
      </w:hyperlink>
    </w:p>
    <w:p w14:paraId="7033BC23" w14:textId="6637A95F" w:rsidR="00E601E0" w:rsidRPr="007C2116" w:rsidRDefault="00E601E0" w:rsidP="002F7548">
      <w:pPr>
        <w:tabs>
          <w:tab w:val="clear" w:pos="567"/>
        </w:tabs>
        <w:overflowPunct/>
        <w:autoSpaceDE/>
        <w:autoSpaceDN/>
        <w:adjustRightInd/>
        <w:ind w:left="720" w:hanging="720"/>
        <w:jc w:val="left"/>
        <w:textAlignment w:val="auto"/>
        <w:rPr>
          <w:rFonts w:eastAsia="Calibri"/>
          <w:lang w:val="en-US"/>
        </w:rPr>
      </w:pPr>
      <w:r w:rsidRPr="007C2116">
        <w:rPr>
          <w:lang w:val="en-US"/>
        </w:rPr>
        <w:t xml:space="preserve">Tudor, </w:t>
      </w:r>
      <w:proofErr w:type="spellStart"/>
      <w:r w:rsidRPr="007C2116">
        <w:rPr>
          <w:lang w:val="en-US"/>
        </w:rPr>
        <w:t>Radu</w:t>
      </w:r>
      <w:proofErr w:type="spellEnd"/>
      <w:r w:rsidRPr="007C2116">
        <w:rPr>
          <w:lang w:val="en-US"/>
        </w:rPr>
        <w:t xml:space="preserve"> "NATO activates BMD facility in Romania," </w:t>
      </w:r>
      <w:r w:rsidRPr="007C2116">
        <w:rPr>
          <w:i/>
          <w:lang w:val="en-US"/>
        </w:rPr>
        <w:t xml:space="preserve">IHS Jane’s </w:t>
      </w:r>
      <w:proofErr w:type="spellStart"/>
      <w:r w:rsidRPr="007C2116">
        <w:rPr>
          <w:i/>
          <w:lang w:val="en-US"/>
        </w:rPr>
        <w:t>Defence</w:t>
      </w:r>
      <w:proofErr w:type="spellEnd"/>
      <w:r w:rsidRPr="007C2116">
        <w:rPr>
          <w:i/>
          <w:lang w:val="en-US"/>
        </w:rPr>
        <w:t xml:space="preserve"> Weekly</w:t>
      </w:r>
      <w:r w:rsidRPr="007C2116">
        <w:rPr>
          <w:lang w:val="en-US"/>
        </w:rPr>
        <w:t xml:space="preserve">, 21 </w:t>
      </w:r>
      <w:proofErr w:type="spellStart"/>
      <w:r w:rsidRPr="007C2116">
        <w:rPr>
          <w:lang w:val="en-US"/>
        </w:rPr>
        <w:t>décembre</w:t>
      </w:r>
      <w:proofErr w:type="spellEnd"/>
      <w:r w:rsidRPr="007C2116">
        <w:rPr>
          <w:lang w:val="en-US"/>
        </w:rPr>
        <w:t xml:space="preserve"> 2015, http://www.janes.com/article/56773/nato-activates-bmd-facility-in-romania</w:t>
      </w:r>
    </w:p>
    <w:p w14:paraId="7934161A"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Ulgen</w:t>
      </w:r>
      <w:proofErr w:type="spellEnd"/>
      <w:r w:rsidRPr="007C2116">
        <w:rPr>
          <w:rFonts w:eastAsia="Calibri"/>
          <w:lang w:val="en-US"/>
        </w:rPr>
        <w:t xml:space="preserve">, Sinan, “Governance in Cyberspace: A Roadmap for Transatlantic Leadership,” Carnegie Endowment, </w:t>
      </w:r>
      <w:proofErr w:type="spellStart"/>
      <w:r w:rsidR="00776DB7" w:rsidRPr="007C2116">
        <w:rPr>
          <w:rFonts w:eastAsia="Calibri"/>
          <w:lang w:val="en-US"/>
        </w:rPr>
        <w:t>janvier</w:t>
      </w:r>
      <w:proofErr w:type="spellEnd"/>
      <w:r w:rsidRPr="007C2116">
        <w:rPr>
          <w:rFonts w:eastAsia="Calibri"/>
          <w:lang w:val="en-US"/>
        </w:rPr>
        <w:t xml:space="preserve"> 2016</w:t>
      </w:r>
    </w:p>
    <w:p w14:paraId="5E40E25F"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U</w:t>
      </w:r>
      <w:r w:rsidR="00776DB7" w:rsidRPr="007C2116">
        <w:rPr>
          <w:rFonts w:eastAsia="Calibri"/>
          <w:lang w:val="en-US"/>
        </w:rPr>
        <w:t>S DoD (U</w:t>
      </w:r>
      <w:r w:rsidRPr="007C2116">
        <w:rPr>
          <w:rFonts w:eastAsia="Calibri"/>
          <w:lang w:val="en-US"/>
        </w:rPr>
        <w:t>nited States Department of Defense</w:t>
      </w:r>
      <w:r w:rsidR="00776DB7" w:rsidRPr="007C2116">
        <w:rPr>
          <w:rFonts w:eastAsia="Calibri"/>
          <w:lang w:val="en-US"/>
        </w:rPr>
        <w:t>)</w:t>
      </w:r>
      <w:r w:rsidRPr="007C2116">
        <w:rPr>
          <w:rFonts w:eastAsia="Calibri"/>
          <w:lang w:val="en-US"/>
        </w:rPr>
        <w:t xml:space="preserve">,“European Reassurance Initiative,” </w:t>
      </w:r>
      <w:r w:rsidRPr="007C2116">
        <w:rPr>
          <w:rFonts w:eastAsia="Calibri"/>
          <w:i/>
          <w:lang w:val="en-US"/>
        </w:rPr>
        <w:t>Department of Defense Budget FY 2017</w:t>
      </w:r>
      <w:r w:rsidRPr="007C2116">
        <w:rPr>
          <w:rFonts w:eastAsia="Calibri"/>
          <w:lang w:val="en-US"/>
        </w:rPr>
        <w:t xml:space="preserve">, Office of the Under Secretary of Defense (Comptroller) </w:t>
      </w:r>
      <w:proofErr w:type="spellStart"/>
      <w:r w:rsidR="00776DB7" w:rsidRPr="007C2116">
        <w:rPr>
          <w:rFonts w:eastAsia="Calibri"/>
          <w:lang w:val="en-US"/>
        </w:rPr>
        <w:t>février</w:t>
      </w:r>
      <w:proofErr w:type="spellEnd"/>
      <w:r w:rsidRPr="007C2116">
        <w:rPr>
          <w:rFonts w:eastAsia="Calibri"/>
          <w:lang w:val="en-US"/>
        </w:rPr>
        <w:t xml:space="preserve"> 2016, </w:t>
      </w:r>
      <w:hyperlink r:id="rId49" w:history="1">
        <w:r w:rsidRPr="007C2116">
          <w:rPr>
            <w:rFonts w:eastAsia="Calibri"/>
            <w:lang w:val="en-US"/>
          </w:rPr>
          <w:t>http://comptroller.defense.gov/Portals/45/Documents/defbudget/fy2017/FY2017_ERI_J-Book.pdf</w:t>
        </w:r>
      </w:hyperlink>
    </w:p>
    <w:p w14:paraId="790594F0" w14:textId="66B21060" w:rsidR="00E601E0" w:rsidRPr="007C2116" w:rsidRDefault="00E601E0" w:rsidP="002F7548">
      <w:pPr>
        <w:tabs>
          <w:tab w:val="clear" w:pos="567"/>
        </w:tabs>
        <w:overflowPunct/>
        <w:autoSpaceDE/>
        <w:autoSpaceDN/>
        <w:adjustRightInd/>
        <w:ind w:left="720" w:hanging="720"/>
        <w:jc w:val="left"/>
        <w:textAlignment w:val="auto"/>
        <w:rPr>
          <w:rFonts w:eastAsia="Calibri"/>
          <w:lang w:val="en-US"/>
        </w:rPr>
      </w:pPr>
      <w:r w:rsidRPr="007C2116">
        <w:rPr>
          <w:lang w:val="en-US"/>
        </w:rPr>
        <w:t>Wilson, Andrew, "No stability under occupation in Crimea”, European Council on Foreign Relations," 18 mars 2016, http://www.ecfr.eu/article/commentary_crimea_no_stability_under_occupation6042</w:t>
      </w:r>
    </w:p>
    <w:p w14:paraId="7A394B52"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proofErr w:type="spellStart"/>
      <w:r w:rsidRPr="007C2116">
        <w:rPr>
          <w:rFonts w:eastAsia="Calibri"/>
          <w:lang w:val="en-US"/>
        </w:rPr>
        <w:t>Withnall</w:t>
      </w:r>
      <w:proofErr w:type="spellEnd"/>
      <w:r w:rsidRPr="007C2116">
        <w:rPr>
          <w:rFonts w:eastAsia="Calibri"/>
          <w:lang w:val="en-US"/>
        </w:rPr>
        <w:t xml:space="preserve">, Adam, “Vladimir Putin says Russia was preparing to use nuclear weapons 'if necessary' and blames US for Ukraine crisis,” </w:t>
      </w:r>
      <w:r w:rsidRPr="007C2116">
        <w:rPr>
          <w:rFonts w:eastAsia="Calibri"/>
          <w:i/>
          <w:lang w:val="en-US"/>
        </w:rPr>
        <w:t>The Independent</w:t>
      </w:r>
      <w:r w:rsidRPr="007C2116">
        <w:rPr>
          <w:rFonts w:eastAsia="Calibri"/>
          <w:lang w:val="en-US"/>
        </w:rPr>
        <w:t xml:space="preserve">, 15 </w:t>
      </w:r>
      <w:r w:rsidR="00776DB7" w:rsidRPr="007C2116">
        <w:rPr>
          <w:rFonts w:eastAsia="Calibri"/>
          <w:lang w:val="en-US"/>
        </w:rPr>
        <w:t>mars</w:t>
      </w:r>
      <w:r w:rsidRPr="007C2116">
        <w:rPr>
          <w:rFonts w:eastAsia="Calibri"/>
          <w:lang w:val="en-US"/>
        </w:rPr>
        <w:t xml:space="preserve"> 2015, </w:t>
      </w:r>
      <w:hyperlink r:id="rId50" w:history="1">
        <w:r w:rsidRPr="007C2116">
          <w:rPr>
            <w:rFonts w:eastAsia="Calibri"/>
            <w:lang w:val="en-US"/>
          </w:rPr>
          <w:t>http://www.independent.co.uk/news/world/europe/vladimir-putin-says-russia-was-preparing-to-use-nuclear-weapons-if-necessary-and-blames-us-for-10109615.html</w:t>
        </w:r>
      </w:hyperlink>
    </w:p>
    <w:p w14:paraId="030B8FD0" w14:textId="77777777" w:rsidR="002F7548" w:rsidRPr="007C2116" w:rsidRDefault="002F7548" w:rsidP="002F7548">
      <w:pPr>
        <w:tabs>
          <w:tab w:val="clear" w:pos="567"/>
        </w:tabs>
        <w:overflowPunct/>
        <w:autoSpaceDE/>
        <w:autoSpaceDN/>
        <w:adjustRightInd/>
        <w:ind w:left="720" w:hanging="720"/>
        <w:jc w:val="left"/>
        <w:textAlignment w:val="auto"/>
        <w:rPr>
          <w:rFonts w:eastAsia="Calibri"/>
          <w:lang w:val="en-US"/>
        </w:rPr>
      </w:pPr>
      <w:r w:rsidRPr="007C2116">
        <w:rPr>
          <w:rFonts w:eastAsia="Calibri"/>
          <w:lang w:val="en-US"/>
        </w:rPr>
        <w:t xml:space="preserve">Woolf, Amy, “Russian Compliance with the Intermediate Range Nuclear Forces (INF) Treaty: Background and Issues for Congress,” </w:t>
      </w:r>
      <w:r w:rsidRPr="007C2116">
        <w:rPr>
          <w:rFonts w:eastAsia="Calibri"/>
          <w:i/>
          <w:lang w:val="en-US"/>
        </w:rPr>
        <w:t>Congressional Research Office</w:t>
      </w:r>
      <w:r w:rsidRPr="007C2116">
        <w:rPr>
          <w:rFonts w:eastAsia="Calibri"/>
          <w:lang w:val="en-US"/>
        </w:rPr>
        <w:t xml:space="preserve">, 13 </w:t>
      </w:r>
      <w:proofErr w:type="spellStart"/>
      <w:r w:rsidR="00776DB7" w:rsidRPr="007C2116">
        <w:rPr>
          <w:rFonts w:eastAsia="Calibri"/>
          <w:lang w:val="en-US"/>
        </w:rPr>
        <w:t>octobre</w:t>
      </w:r>
      <w:proofErr w:type="spellEnd"/>
      <w:r w:rsidRPr="007C2116">
        <w:rPr>
          <w:rFonts w:eastAsia="Calibri"/>
          <w:lang w:val="en-US"/>
        </w:rPr>
        <w:t xml:space="preserve"> 2015, https://www.fas.org/sgp/crs/nuke/R43832.pdf</w:t>
      </w:r>
    </w:p>
    <w:p w14:paraId="0CF22A36" w14:textId="77777777" w:rsidR="007C2116" w:rsidRPr="007C2116" w:rsidRDefault="007C2116" w:rsidP="007C2116">
      <w:pPr>
        <w:tabs>
          <w:tab w:val="clear" w:pos="567"/>
        </w:tabs>
        <w:overflowPunct/>
        <w:autoSpaceDE/>
        <w:autoSpaceDN/>
        <w:adjustRightInd/>
        <w:jc w:val="left"/>
        <w:textAlignment w:val="auto"/>
        <w:rPr>
          <w:bCs/>
          <w:lang w:val="en-GB"/>
        </w:rPr>
      </w:pPr>
    </w:p>
    <w:p w14:paraId="50233978" w14:textId="77777777" w:rsidR="007C2116" w:rsidRPr="007C2116" w:rsidRDefault="007C2116" w:rsidP="007C2116">
      <w:pPr>
        <w:tabs>
          <w:tab w:val="clear" w:pos="567"/>
        </w:tabs>
        <w:overflowPunct/>
        <w:autoSpaceDE/>
        <w:autoSpaceDN/>
        <w:adjustRightInd/>
        <w:jc w:val="left"/>
        <w:textAlignment w:val="auto"/>
        <w:rPr>
          <w:bCs/>
          <w:lang w:val="en-GB"/>
        </w:rPr>
      </w:pPr>
    </w:p>
    <w:p w14:paraId="4274C5DF" w14:textId="166C3468" w:rsidR="00C02C3A" w:rsidRPr="00873F20" w:rsidRDefault="00E43218" w:rsidP="007C2116">
      <w:pPr>
        <w:tabs>
          <w:tab w:val="clear" w:pos="567"/>
        </w:tabs>
        <w:overflowPunct/>
        <w:autoSpaceDE/>
        <w:autoSpaceDN/>
        <w:adjustRightInd/>
        <w:jc w:val="center"/>
        <w:textAlignment w:val="auto"/>
        <w:rPr>
          <w:bCs/>
        </w:rPr>
      </w:pPr>
      <w:r>
        <w:rPr>
          <w:bCs/>
        </w:rPr>
        <w:t>_________________________</w:t>
      </w:r>
    </w:p>
    <w:sectPr w:rsidR="00C02C3A" w:rsidRPr="00873F20" w:rsidSect="0059094C">
      <w:headerReference w:type="even" r:id="rId51"/>
      <w:headerReference w:type="default" r:id="rId52"/>
      <w:footerReference w:type="even" r:id="rId53"/>
      <w:footerReference w:type="default" r:id="rId54"/>
      <w:pgSz w:w="11907" w:h="16840" w:code="9"/>
      <w:pgMar w:top="851" w:right="1134" w:bottom="1134" w:left="1134" w:header="851"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DA76" w14:textId="77777777" w:rsidR="006B431E" w:rsidRDefault="006B431E">
      <w:r>
        <w:separator/>
      </w:r>
    </w:p>
  </w:endnote>
  <w:endnote w:type="continuationSeparator" w:id="0">
    <w:p w14:paraId="5B94FEB6" w14:textId="77777777" w:rsidR="006B431E" w:rsidRDefault="006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C2F2" w14:textId="77777777" w:rsidR="006B431E" w:rsidRDefault="006B431E" w:rsidP="000B28EC">
    <w:pPr>
      <w:pStyle w:val="Footer"/>
      <w:jc w:val="center"/>
    </w:pPr>
  </w:p>
  <w:p w14:paraId="63BB8FCF" w14:textId="24FFEFBA" w:rsidR="006B431E" w:rsidRDefault="006B431E" w:rsidP="000B28EC">
    <w:pPr>
      <w:pStyle w:val="Footer"/>
      <w:jc w:val="center"/>
    </w:pPr>
    <w:r>
      <w:fldChar w:fldCharType="begin"/>
    </w:r>
    <w:r>
      <w:instrText xml:space="preserve"> PAGE   \* MERGEFORMAT </w:instrText>
    </w:r>
    <w:r>
      <w:fldChar w:fldCharType="separate"/>
    </w:r>
    <w:r w:rsidR="00122DF8">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31D7" w14:textId="77777777" w:rsidR="006B431E" w:rsidRDefault="006B4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6D859" w14:textId="77777777" w:rsidR="006B431E" w:rsidRDefault="006B431E">
    <w:pPr>
      <w:pStyle w:val="Footer"/>
      <w:ind w:right="360"/>
    </w:pPr>
  </w:p>
  <w:p w14:paraId="1676C6F8" w14:textId="77777777" w:rsidR="006B431E" w:rsidRDefault="006B43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147B" w14:textId="77777777" w:rsidR="006B431E" w:rsidRDefault="006B431E" w:rsidP="000B28EC">
    <w:pPr>
      <w:pStyle w:val="Footer"/>
      <w:jc w:val="center"/>
    </w:pPr>
  </w:p>
  <w:p w14:paraId="71A9A7CB" w14:textId="3894CEE5" w:rsidR="006B431E" w:rsidRPr="00566EDA" w:rsidRDefault="006B431E" w:rsidP="000B28EC">
    <w:pPr>
      <w:pStyle w:val="Footer"/>
      <w:jc w:val="center"/>
    </w:pPr>
    <w:r w:rsidRPr="00566EDA">
      <w:fldChar w:fldCharType="begin"/>
    </w:r>
    <w:r w:rsidRPr="00566EDA">
      <w:instrText xml:space="preserve"> PAGE   \* MERGEFORMAT </w:instrText>
    </w:r>
    <w:r w:rsidRPr="00566EDA">
      <w:fldChar w:fldCharType="separate"/>
    </w:r>
    <w:r w:rsidR="00122DF8">
      <w:rPr>
        <w:noProof/>
      </w:rPr>
      <w:t>20</w:t>
    </w:r>
    <w:r w:rsidRPr="00566E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A4834" w14:textId="77777777" w:rsidR="006B431E" w:rsidRDefault="006B431E">
      <w:r>
        <w:separator/>
      </w:r>
    </w:p>
  </w:footnote>
  <w:footnote w:type="continuationSeparator" w:id="0">
    <w:p w14:paraId="47230209" w14:textId="77777777" w:rsidR="006B431E" w:rsidRDefault="006B431E">
      <w:r>
        <w:continuationSeparator/>
      </w:r>
    </w:p>
  </w:footnote>
  <w:footnote w:id="1">
    <w:p w14:paraId="3D82FDC9" w14:textId="2946B24F" w:rsidR="006B431E" w:rsidRPr="002E280B" w:rsidRDefault="006B431E" w:rsidP="002E280B">
      <w:pPr>
        <w:rPr>
          <w:sz w:val="20"/>
          <w:szCs w:val="20"/>
        </w:rPr>
      </w:pPr>
      <w:r>
        <w:rPr>
          <w:rStyle w:val="FootnoteReference"/>
        </w:rPr>
        <w:footnoteRef/>
      </w:r>
      <w:r>
        <w:t xml:space="preserve"> </w:t>
      </w:r>
      <w:r>
        <w:tab/>
      </w:r>
      <w:r w:rsidRPr="00B4743A">
        <w:rPr>
          <w:sz w:val="20"/>
          <w:szCs w:val="20"/>
          <w:lang w:val="fr-BE"/>
        </w:rPr>
        <w:t xml:space="preserve">Acronyme arabe </w:t>
      </w:r>
      <w:r>
        <w:rPr>
          <w:sz w:val="20"/>
          <w:szCs w:val="20"/>
          <w:lang w:val="fr-BE"/>
        </w:rPr>
        <w:t xml:space="preserve">utilisé </w:t>
      </w:r>
      <w:r w:rsidRPr="00B4743A">
        <w:rPr>
          <w:sz w:val="20"/>
          <w:szCs w:val="20"/>
          <w:lang w:val="fr-BE"/>
        </w:rPr>
        <w:t>pour</w:t>
      </w:r>
      <w:r>
        <w:rPr>
          <w:sz w:val="20"/>
          <w:szCs w:val="20"/>
          <w:lang w:val="fr-BE"/>
        </w:rPr>
        <w:t xml:space="preserve"> désigner le groupe</w:t>
      </w:r>
      <w:r w:rsidRPr="00B4743A">
        <w:rPr>
          <w:sz w:val="20"/>
          <w:szCs w:val="20"/>
          <w:lang w:val="fr-BE"/>
        </w:rPr>
        <w:t xml:space="preserve"> « État islamique</w:t>
      </w:r>
      <w:r>
        <w:rPr>
          <w:sz w:val="20"/>
          <w:szCs w:val="20"/>
          <w:lang w:val="fr-BE"/>
        </w:rPr>
        <w:t xml:space="preserve"> </w:t>
      </w:r>
      <w:r w:rsidRPr="00B4743A">
        <w:rPr>
          <w:sz w:val="20"/>
          <w:szCs w:val="20"/>
          <w:lang w:val="fr-BE"/>
        </w:rPr>
        <w:t>»</w:t>
      </w:r>
      <w:r>
        <w:rPr>
          <w:sz w:val="20"/>
          <w:szCs w:val="20"/>
          <w:lang w:val="fr-BE"/>
        </w:rPr>
        <w:t xml:space="preserve"> (EI)</w:t>
      </w:r>
    </w:p>
  </w:footnote>
  <w:footnote w:id="2">
    <w:p w14:paraId="654EE681" w14:textId="104A2380" w:rsidR="006B431E" w:rsidRPr="00F672A7" w:rsidRDefault="006B431E" w:rsidP="00542224">
      <w:pPr>
        <w:pStyle w:val="FootnoteText"/>
        <w:ind w:left="567" w:hanging="567"/>
        <w:rPr>
          <w:lang w:val="fr-BE"/>
        </w:rPr>
      </w:pPr>
      <w:r>
        <w:rPr>
          <w:rStyle w:val="FootnoteReference"/>
        </w:rPr>
        <w:footnoteRef/>
      </w:r>
      <w:r w:rsidRPr="00603702">
        <w:rPr>
          <w:lang w:val="fr-BE"/>
        </w:rPr>
        <w:t xml:space="preserve"> </w:t>
      </w:r>
      <w:r>
        <w:rPr>
          <w:lang w:val="fr-BE"/>
        </w:rPr>
        <w:tab/>
      </w:r>
      <w:r w:rsidRPr="00F672A7">
        <w:rPr>
          <w:lang w:val="fr-BE"/>
        </w:rPr>
        <w:t xml:space="preserve">L’engagement en matière de dépenses de défense présenté dans les déclarations du </w:t>
      </w:r>
      <w:r>
        <w:rPr>
          <w:lang w:val="fr-BE"/>
        </w:rPr>
        <w:t xml:space="preserve">sommet du </w:t>
      </w:r>
      <w:r w:rsidRPr="00F672A7">
        <w:rPr>
          <w:lang w:val="fr-BE"/>
        </w:rPr>
        <w:t xml:space="preserve">pays de Galles stipule que les </w:t>
      </w:r>
      <w:r>
        <w:rPr>
          <w:lang w:val="fr-BE"/>
        </w:rPr>
        <w:t>États</w:t>
      </w:r>
      <w:r w:rsidRPr="00F672A7">
        <w:rPr>
          <w:lang w:val="fr-BE"/>
        </w:rPr>
        <w:t xml:space="preserve"> membres sont convenus de s’efforcer de consacrer 2 % de leur PIB à la défense, et 20 % au moins de ce montant à l’achat de nouveaux équipements ainsi qu’à la recherche et au développement.</w:t>
      </w:r>
    </w:p>
  </w:footnote>
  <w:footnote w:id="3">
    <w:p w14:paraId="1EEDD595" w14:textId="77777777" w:rsidR="006B431E" w:rsidRPr="00603702" w:rsidRDefault="006B431E" w:rsidP="0059094C">
      <w:pPr>
        <w:pStyle w:val="FootnoteText"/>
        <w:ind w:left="567" w:hanging="567"/>
        <w:rPr>
          <w:lang w:val="fr-BE"/>
        </w:rPr>
      </w:pPr>
      <w:r>
        <w:rPr>
          <w:rStyle w:val="FootnoteReference"/>
        </w:rPr>
        <w:footnoteRef/>
      </w:r>
      <w:r w:rsidRPr="00603702">
        <w:rPr>
          <w:lang w:val="fr-BE"/>
        </w:rPr>
        <w:t xml:space="preserve"> </w:t>
      </w:r>
      <w:r>
        <w:rPr>
          <w:lang w:val="fr-BE"/>
        </w:rPr>
        <w:tab/>
      </w:r>
      <w:r w:rsidRPr="00603702">
        <w:rPr>
          <w:lang w:val="fr-BE"/>
        </w:rPr>
        <w:t xml:space="preserve">L’Alliance intégrera le Monténégro cette année, ce qui portera le nombre de ses membres à 29. </w:t>
      </w:r>
    </w:p>
  </w:footnote>
  <w:footnote w:id="4">
    <w:p w14:paraId="25276C21" w14:textId="06479BC8" w:rsidR="006B431E" w:rsidRPr="001D16BD" w:rsidRDefault="006B431E" w:rsidP="0027223A">
      <w:pPr>
        <w:pStyle w:val="FootnoteText"/>
        <w:ind w:left="567" w:hanging="567"/>
        <w:rPr>
          <w:lang w:val="fr-BE"/>
        </w:rPr>
      </w:pPr>
      <w:r w:rsidRPr="001D16BD">
        <w:rPr>
          <w:rStyle w:val="FootnoteReference"/>
        </w:rPr>
        <w:footnoteRef/>
      </w:r>
      <w:r w:rsidRPr="001D16BD">
        <w:rPr>
          <w:lang w:val="fr-BE"/>
        </w:rPr>
        <w:t xml:space="preserve"> </w:t>
      </w:r>
      <w:r>
        <w:rPr>
          <w:lang w:val="fr-BE"/>
        </w:rPr>
        <w:tab/>
      </w:r>
      <w:r w:rsidRPr="00540798">
        <w:rPr>
          <w:sz w:val="18"/>
          <w:szCs w:val="18"/>
          <w:lang w:val="fr-BE"/>
        </w:rPr>
        <w:t xml:space="preserve">Une délégation de la </w:t>
      </w:r>
      <w:r>
        <w:rPr>
          <w:sz w:val="18"/>
          <w:szCs w:val="18"/>
          <w:lang w:val="fr-BE"/>
        </w:rPr>
        <w:t>s</w:t>
      </w:r>
      <w:r w:rsidRPr="00540798">
        <w:rPr>
          <w:sz w:val="18"/>
          <w:szCs w:val="18"/>
          <w:lang w:val="fr-BE"/>
        </w:rPr>
        <w:t xml:space="preserve">ous-commission sur la </w:t>
      </w:r>
      <w:r>
        <w:rPr>
          <w:sz w:val="18"/>
          <w:szCs w:val="18"/>
          <w:lang w:val="fr-BE"/>
        </w:rPr>
        <w:t xml:space="preserve">coopération transatlantique en matière de défense et de </w:t>
      </w:r>
      <w:r w:rsidRPr="00540798">
        <w:rPr>
          <w:sz w:val="18"/>
          <w:szCs w:val="18"/>
          <w:lang w:val="fr-BE"/>
        </w:rPr>
        <w:t>sécurité</w:t>
      </w:r>
      <w:r>
        <w:rPr>
          <w:sz w:val="18"/>
          <w:szCs w:val="18"/>
          <w:lang w:val="fr-BE"/>
        </w:rPr>
        <w:t xml:space="preserve"> (DSCTC)</w:t>
      </w:r>
      <w:r w:rsidRPr="00540798">
        <w:rPr>
          <w:sz w:val="18"/>
          <w:szCs w:val="18"/>
          <w:lang w:val="fr-BE"/>
        </w:rPr>
        <w:t xml:space="preserve"> </w:t>
      </w:r>
      <w:r>
        <w:rPr>
          <w:sz w:val="18"/>
          <w:szCs w:val="18"/>
          <w:lang w:val="fr-BE"/>
        </w:rPr>
        <w:t xml:space="preserve">ayant le statut d’observateur s’est rendue </w:t>
      </w:r>
      <w:r w:rsidRPr="00540798">
        <w:rPr>
          <w:sz w:val="18"/>
          <w:szCs w:val="18"/>
          <w:lang w:val="fr-BE"/>
        </w:rPr>
        <w:t xml:space="preserve">en Sardaigne le 28 octobre </w:t>
      </w:r>
      <w:r>
        <w:rPr>
          <w:sz w:val="18"/>
          <w:szCs w:val="18"/>
          <w:lang w:val="fr-BE"/>
        </w:rPr>
        <w:t xml:space="preserve">2015 </w:t>
      </w:r>
      <w:r w:rsidRPr="00540798">
        <w:rPr>
          <w:sz w:val="18"/>
          <w:szCs w:val="18"/>
          <w:lang w:val="fr-BE"/>
        </w:rPr>
        <w:t xml:space="preserve">pour suivre une partie de cet exercice. Le compte rendu de </w:t>
      </w:r>
      <w:r>
        <w:rPr>
          <w:sz w:val="18"/>
          <w:szCs w:val="18"/>
          <w:lang w:val="fr-BE"/>
        </w:rPr>
        <w:t xml:space="preserve">cette </w:t>
      </w:r>
      <w:r w:rsidRPr="00540798">
        <w:rPr>
          <w:sz w:val="18"/>
          <w:szCs w:val="18"/>
          <w:lang w:val="fr-BE"/>
        </w:rPr>
        <w:t xml:space="preserve">mission est disponible </w:t>
      </w:r>
      <w:r>
        <w:rPr>
          <w:sz w:val="18"/>
          <w:szCs w:val="18"/>
          <w:lang w:val="fr-BE"/>
        </w:rPr>
        <w:t xml:space="preserve">sur le site internet de l’Assemblée parlementaire de l’OTAN : </w:t>
      </w:r>
      <w:hyperlink r:id="rId1" w:history="1">
        <w:r w:rsidRPr="00540798">
          <w:rPr>
            <w:rStyle w:val="Hyperlink"/>
            <w:sz w:val="18"/>
            <w:szCs w:val="18"/>
            <w:lang w:val="fr-BE"/>
          </w:rPr>
          <w:t>www.nato-pa.int/Default.asp?SHORTCUT=4110</w:t>
        </w:r>
      </w:hyperlink>
      <w:r w:rsidRPr="00540798">
        <w:rPr>
          <w:sz w:val="18"/>
          <w:szCs w:val="18"/>
          <w:lang w:val="fr-BE"/>
        </w:rPr>
        <w:t>.</w:t>
      </w:r>
      <w:r w:rsidRPr="001D16BD">
        <w:rPr>
          <w:lang w:val="fr-BE"/>
        </w:rPr>
        <w:t xml:space="preserve"> </w:t>
      </w:r>
    </w:p>
  </w:footnote>
  <w:footnote w:id="5">
    <w:p w14:paraId="746BEDE6" w14:textId="7EE0C074" w:rsidR="006B431E" w:rsidRPr="007232C2" w:rsidRDefault="006B431E" w:rsidP="00C02C3A">
      <w:pPr>
        <w:pStyle w:val="FootnoteText"/>
        <w:ind w:left="567" w:hanging="567"/>
        <w:rPr>
          <w:sz w:val="18"/>
          <w:szCs w:val="18"/>
          <w:lang w:val="fr-BE"/>
        </w:rPr>
      </w:pPr>
      <w:r w:rsidRPr="00D356DF">
        <w:rPr>
          <w:rStyle w:val="FootnoteReference"/>
          <w:sz w:val="18"/>
          <w:szCs w:val="18"/>
        </w:rPr>
        <w:footnoteRef/>
      </w:r>
      <w:r w:rsidRPr="0057509B">
        <w:rPr>
          <w:sz w:val="18"/>
          <w:szCs w:val="18"/>
          <w:lang w:val="fr-BE"/>
        </w:rPr>
        <w:t xml:space="preserve"> </w:t>
      </w:r>
      <w:r>
        <w:rPr>
          <w:sz w:val="18"/>
          <w:szCs w:val="18"/>
          <w:lang w:val="fr-BE"/>
        </w:rPr>
        <w:tab/>
      </w:r>
      <w:r w:rsidRPr="0057509B">
        <w:rPr>
          <w:sz w:val="18"/>
          <w:szCs w:val="18"/>
          <w:lang w:val="fr-BE"/>
        </w:rPr>
        <w:t>Le financement du Plan st</w:t>
      </w:r>
      <w:r w:rsidR="00C24904">
        <w:rPr>
          <w:sz w:val="18"/>
          <w:szCs w:val="18"/>
          <w:lang w:val="fr-BE"/>
        </w:rPr>
        <w:t xml:space="preserve">ratégique d’armement </w:t>
      </w:r>
      <w:r>
        <w:rPr>
          <w:sz w:val="18"/>
          <w:szCs w:val="18"/>
          <w:lang w:val="fr-BE"/>
        </w:rPr>
        <w:t xml:space="preserve">se répartit comme suit : armée de l’air, 24 % ; marine, 26 % ; espace et défense aérienne, 18 % ; armée de terre, 13 % ; forces stratégiques, 5 % ; autres, 14 %. </w:t>
      </w:r>
    </w:p>
  </w:footnote>
  <w:footnote w:id="6">
    <w:p w14:paraId="6B928E6F" w14:textId="77777777" w:rsidR="006B431E" w:rsidRPr="0057509B" w:rsidRDefault="006B431E" w:rsidP="00C02C3A">
      <w:pPr>
        <w:pStyle w:val="FootnoteText"/>
        <w:ind w:left="567" w:hanging="567"/>
        <w:rPr>
          <w:sz w:val="18"/>
          <w:szCs w:val="18"/>
          <w:lang w:val="fr-BE"/>
        </w:rPr>
      </w:pPr>
      <w:r w:rsidRPr="00D356DF">
        <w:rPr>
          <w:rStyle w:val="FootnoteReference"/>
          <w:sz w:val="18"/>
          <w:szCs w:val="18"/>
        </w:rPr>
        <w:footnoteRef/>
      </w:r>
      <w:r w:rsidRPr="0057509B">
        <w:rPr>
          <w:sz w:val="18"/>
          <w:szCs w:val="18"/>
          <w:lang w:val="fr-BE"/>
        </w:rPr>
        <w:t xml:space="preserve"> </w:t>
      </w:r>
      <w:r>
        <w:rPr>
          <w:sz w:val="18"/>
          <w:szCs w:val="18"/>
          <w:lang w:val="fr-BE"/>
        </w:rPr>
        <w:tab/>
      </w:r>
      <w:r w:rsidRPr="0057509B">
        <w:rPr>
          <w:sz w:val="18"/>
          <w:szCs w:val="18"/>
          <w:lang w:val="fr-BE"/>
        </w:rPr>
        <w:t xml:space="preserve">Les </w:t>
      </w:r>
      <w:r>
        <w:rPr>
          <w:sz w:val="18"/>
          <w:szCs w:val="18"/>
          <w:lang w:val="fr-BE"/>
        </w:rPr>
        <w:t>T-14</w:t>
      </w:r>
      <w:r w:rsidRPr="0057509B">
        <w:rPr>
          <w:sz w:val="18"/>
          <w:szCs w:val="18"/>
          <w:lang w:val="fr-BE"/>
        </w:rPr>
        <w:t xml:space="preserve"> ont passé les test</w:t>
      </w:r>
      <w:r>
        <w:rPr>
          <w:sz w:val="18"/>
          <w:szCs w:val="18"/>
          <w:lang w:val="fr-BE"/>
        </w:rPr>
        <w:t>s</w:t>
      </w:r>
      <w:r w:rsidRPr="0057509B">
        <w:rPr>
          <w:sz w:val="18"/>
          <w:szCs w:val="18"/>
          <w:lang w:val="fr-BE"/>
        </w:rPr>
        <w:t xml:space="preserve"> avec succès et la</w:t>
      </w:r>
      <w:r>
        <w:rPr>
          <w:sz w:val="18"/>
          <w:szCs w:val="18"/>
          <w:lang w:val="fr-BE"/>
        </w:rPr>
        <w:t xml:space="preserve"> </w:t>
      </w:r>
      <w:r w:rsidRPr="0057509B">
        <w:rPr>
          <w:sz w:val="18"/>
          <w:szCs w:val="18"/>
          <w:lang w:val="fr-BE"/>
        </w:rPr>
        <w:t>production devrait démarrer en 2017.</w:t>
      </w:r>
    </w:p>
  </w:footnote>
  <w:footnote w:id="7">
    <w:p w14:paraId="706F1828" w14:textId="77777777" w:rsidR="006B431E" w:rsidRPr="003E33E3" w:rsidRDefault="006B431E" w:rsidP="00C02C3A">
      <w:pPr>
        <w:pStyle w:val="FootnoteText"/>
        <w:ind w:left="567" w:hanging="567"/>
        <w:rPr>
          <w:sz w:val="18"/>
          <w:szCs w:val="18"/>
          <w:lang w:val="fr-BE"/>
        </w:rPr>
      </w:pPr>
      <w:r w:rsidRPr="00D356DF">
        <w:rPr>
          <w:rStyle w:val="FootnoteReference"/>
          <w:sz w:val="18"/>
          <w:szCs w:val="18"/>
        </w:rPr>
        <w:footnoteRef/>
      </w:r>
      <w:r w:rsidRPr="003E33E3">
        <w:rPr>
          <w:sz w:val="18"/>
          <w:szCs w:val="18"/>
          <w:lang w:val="fr-BE"/>
        </w:rPr>
        <w:t xml:space="preserve"> </w:t>
      </w:r>
      <w:r>
        <w:rPr>
          <w:sz w:val="18"/>
          <w:szCs w:val="18"/>
          <w:lang w:val="fr-BE"/>
        </w:rPr>
        <w:tab/>
        <w:t>Les S-500, qui so</w:t>
      </w:r>
      <w:r w:rsidRPr="003E33E3">
        <w:rPr>
          <w:sz w:val="18"/>
          <w:szCs w:val="18"/>
          <w:lang w:val="fr-BE"/>
        </w:rPr>
        <w:t>n</w:t>
      </w:r>
      <w:r>
        <w:rPr>
          <w:sz w:val="18"/>
          <w:szCs w:val="18"/>
          <w:lang w:val="fr-BE"/>
        </w:rPr>
        <w:t>t</w:t>
      </w:r>
      <w:r w:rsidRPr="003E33E3">
        <w:rPr>
          <w:sz w:val="18"/>
          <w:szCs w:val="18"/>
          <w:lang w:val="fr-BE"/>
        </w:rPr>
        <w:t xml:space="preserve"> encore plus avancés, devraient entrer en service prochainement.</w:t>
      </w:r>
    </w:p>
  </w:footnote>
  <w:footnote w:id="8">
    <w:p w14:paraId="72CCC90C" w14:textId="77777777" w:rsidR="006B431E" w:rsidRPr="003E33E3" w:rsidRDefault="006B431E" w:rsidP="00C02C3A">
      <w:pPr>
        <w:pStyle w:val="FootnoteText"/>
        <w:ind w:left="567" w:hanging="567"/>
        <w:rPr>
          <w:sz w:val="18"/>
          <w:szCs w:val="18"/>
          <w:lang w:val="fr-BE"/>
        </w:rPr>
      </w:pPr>
      <w:r w:rsidRPr="00D356DF">
        <w:rPr>
          <w:rStyle w:val="FootnoteReference"/>
          <w:sz w:val="18"/>
          <w:szCs w:val="18"/>
        </w:rPr>
        <w:footnoteRef/>
      </w:r>
      <w:r w:rsidRPr="003E33E3">
        <w:rPr>
          <w:sz w:val="18"/>
          <w:szCs w:val="18"/>
          <w:lang w:val="fr-BE"/>
        </w:rPr>
        <w:t xml:space="preserve"> </w:t>
      </w:r>
      <w:r>
        <w:rPr>
          <w:sz w:val="18"/>
          <w:szCs w:val="18"/>
          <w:lang w:val="fr-BE"/>
        </w:rPr>
        <w:tab/>
      </w:r>
      <w:r w:rsidRPr="003E33E3">
        <w:rPr>
          <w:sz w:val="18"/>
          <w:szCs w:val="18"/>
          <w:lang w:val="fr-BE"/>
        </w:rPr>
        <w:t>Le premier satellite a été lancé en novembre 2015 et le second devrait suivre en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3216" w14:textId="77777777" w:rsidR="006B431E" w:rsidRDefault="006B431E" w:rsidP="007A4C34">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F9949FD" w14:textId="77777777" w:rsidR="006B431E" w:rsidRDefault="006B431E" w:rsidP="007A4C34">
    <w:pPr>
      <w:pStyle w:val="Header"/>
      <w:rPr>
        <w:rStyle w:val="PageNumber"/>
      </w:rPr>
    </w:pPr>
  </w:p>
  <w:p w14:paraId="06B83A24" w14:textId="77777777" w:rsidR="006B431E" w:rsidRDefault="006B431E" w:rsidP="007A4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57FF" w14:textId="77777777" w:rsidR="006B431E" w:rsidRPr="00005C58" w:rsidRDefault="006B431E" w:rsidP="002E6CAA">
    <w:pPr>
      <w:pStyle w:val="Header"/>
      <w:pBdr>
        <w:bottom w:val="none" w:sz="0" w:space="0" w:color="auto"/>
      </w:pBd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AD4D" w14:textId="04E15D6C" w:rsidR="006B431E" w:rsidRDefault="006B431E" w:rsidP="000A6474">
    <w:pPr>
      <w:pStyle w:val="Header"/>
      <w:pBdr>
        <w:bottom w:val="none" w:sz="0" w:space="0" w:color="auto"/>
      </w:pBdr>
      <w:jc w:val="both"/>
    </w:pPr>
    <w:r>
      <w:rPr>
        <w:noProof w:val="0"/>
      </w:rPr>
      <w:t>161 DSC 16 F</w:t>
    </w:r>
    <w:r w:rsidR="00F22FFB">
      <w:rPr>
        <w:noProof w:val="0"/>
      </w:rPr>
      <w:t xml:space="preserve"> bis</w:t>
    </w:r>
  </w:p>
  <w:p w14:paraId="21553A57" w14:textId="77777777" w:rsidR="006B431E" w:rsidRDefault="006B431E"/>
  <w:p w14:paraId="5DABED80" w14:textId="77777777" w:rsidR="006B431E" w:rsidRDefault="006B43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94FA" w14:textId="77777777" w:rsidR="006B431E" w:rsidRDefault="006B431E">
    <w:pPr>
      <w:pStyle w:val="BodyText"/>
    </w:pPr>
    <w:r>
      <w:t>AV 111</w:t>
    </w:r>
  </w:p>
  <w:p w14:paraId="49A6E155" w14:textId="77777777" w:rsidR="006B431E" w:rsidRDefault="006B431E" w:rsidP="007A4C34">
    <w:pPr>
      <w:pStyle w:val="Header"/>
    </w:pPr>
    <w:r>
      <w:t>PC/CEE (02) 1</w:t>
    </w:r>
  </w:p>
  <w:p w14:paraId="221F61A8" w14:textId="77777777" w:rsidR="006B431E" w:rsidRDefault="006B431E"/>
  <w:p w14:paraId="28F23376" w14:textId="77777777" w:rsidR="006B431E" w:rsidRDefault="006B431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E3EA" w14:textId="77777777" w:rsidR="006B431E" w:rsidRDefault="006B431E" w:rsidP="007A4C34">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A732AB2" w14:textId="77777777" w:rsidR="006B431E" w:rsidRDefault="006B431E" w:rsidP="007A4C34">
    <w:pPr>
      <w:pStyle w:val="Header"/>
      <w:rPr>
        <w:rStyle w:val="PageNumber"/>
      </w:rPr>
    </w:pPr>
  </w:p>
  <w:p w14:paraId="2F39F2B1" w14:textId="77777777" w:rsidR="006B431E" w:rsidRDefault="006B431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FEC6" w14:textId="46800077" w:rsidR="006B431E" w:rsidRDefault="006B431E" w:rsidP="00F3285D">
    <w:pPr>
      <w:pStyle w:val="Header"/>
      <w:pBdr>
        <w:bottom w:val="none" w:sz="0" w:space="0" w:color="auto"/>
      </w:pBdr>
      <w:jc w:val="both"/>
    </w:pPr>
    <w:r>
      <w:rPr>
        <w:noProof w:val="0"/>
      </w:rPr>
      <w:t>161 DSC 16 F</w:t>
    </w:r>
    <w:r w:rsidR="00F22FFB">
      <w:rPr>
        <w:noProof w:val="0"/>
      </w:rPr>
      <w:t xml:space="preserve"> bis</w:t>
    </w:r>
    <w:r>
      <w:rPr>
        <w:noProof w:val="0"/>
      </w:rPr>
      <w:tab/>
    </w:r>
  </w:p>
  <w:p w14:paraId="2AE9BB49" w14:textId="77777777" w:rsidR="006B431E" w:rsidRDefault="006B431E"/>
  <w:p w14:paraId="63C2B2B0" w14:textId="77777777" w:rsidR="006B431E" w:rsidRDefault="006B43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D02"/>
    <w:multiLevelType w:val="hybridMultilevel"/>
    <w:tmpl w:val="0E0097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F17D2"/>
    <w:multiLevelType w:val="hybridMultilevel"/>
    <w:tmpl w:val="F31CFBD2"/>
    <w:lvl w:ilvl="0" w:tplc="AD6228F6">
      <w:start w:val="34"/>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C75FF"/>
    <w:multiLevelType w:val="hybridMultilevel"/>
    <w:tmpl w:val="24CAA934"/>
    <w:lvl w:ilvl="0" w:tplc="AD6228F6">
      <w:start w:val="34"/>
      <w:numFmt w:val="decimal"/>
      <w:lvlText w:val="%1."/>
      <w:lvlJc w:val="left"/>
      <w:pPr>
        <w:ind w:left="1287" w:hanging="360"/>
      </w:pPr>
      <w:rPr>
        <w:rFonts w:ascii="Arial" w:hAnsi="Arial" w:cs="Arial" w:hint="default"/>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C747764"/>
    <w:multiLevelType w:val="hybridMultilevel"/>
    <w:tmpl w:val="32A06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A80476"/>
    <w:multiLevelType w:val="hybridMultilevel"/>
    <w:tmpl w:val="84CAC9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1606A"/>
    <w:multiLevelType w:val="hybridMultilevel"/>
    <w:tmpl w:val="3CA4C04E"/>
    <w:lvl w:ilvl="0" w:tplc="0310F05A">
      <w:start w:val="2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F0473"/>
    <w:multiLevelType w:val="hybridMultilevel"/>
    <w:tmpl w:val="98D4A12C"/>
    <w:lvl w:ilvl="0" w:tplc="AD6228F6">
      <w:start w:val="34"/>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66D2A"/>
    <w:multiLevelType w:val="hybridMultilevel"/>
    <w:tmpl w:val="585C45B4"/>
    <w:lvl w:ilvl="0" w:tplc="125E1DA2">
      <w:start w:val="1"/>
      <w:numFmt w:val="upperLetter"/>
      <w:pStyle w:val="Heading2"/>
      <w:lvlText w:val="%1."/>
      <w:lvlJc w:val="left"/>
      <w:pPr>
        <w:tabs>
          <w:tab w:val="num" w:pos="2978"/>
        </w:tabs>
        <w:ind w:left="2978" w:hanging="567"/>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851"/>
        </w:tabs>
        <w:ind w:left="3851" w:hanging="360"/>
      </w:pPr>
    </w:lvl>
    <w:lvl w:ilvl="2" w:tplc="0409001B" w:tentative="1">
      <w:start w:val="1"/>
      <w:numFmt w:val="lowerRoman"/>
      <w:lvlText w:val="%3."/>
      <w:lvlJc w:val="right"/>
      <w:pPr>
        <w:tabs>
          <w:tab w:val="num" w:pos="4571"/>
        </w:tabs>
        <w:ind w:left="4571" w:hanging="180"/>
      </w:pPr>
    </w:lvl>
    <w:lvl w:ilvl="3" w:tplc="0409000F" w:tentative="1">
      <w:start w:val="1"/>
      <w:numFmt w:val="decimal"/>
      <w:lvlText w:val="%4."/>
      <w:lvlJc w:val="left"/>
      <w:pPr>
        <w:tabs>
          <w:tab w:val="num" w:pos="5291"/>
        </w:tabs>
        <w:ind w:left="5291" w:hanging="360"/>
      </w:pPr>
    </w:lvl>
    <w:lvl w:ilvl="4" w:tplc="04090019" w:tentative="1">
      <w:start w:val="1"/>
      <w:numFmt w:val="lowerLetter"/>
      <w:lvlText w:val="%5."/>
      <w:lvlJc w:val="left"/>
      <w:pPr>
        <w:tabs>
          <w:tab w:val="num" w:pos="6011"/>
        </w:tabs>
        <w:ind w:left="6011" w:hanging="360"/>
      </w:pPr>
    </w:lvl>
    <w:lvl w:ilvl="5" w:tplc="0409001B" w:tentative="1">
      <w:start w:val="1"/>
      <w:numFmt w:val="lowerRoman"/>
      <w:lvlText w:val="%6."/>
      <w:lvlJc w:val="right"/>
      <w:pPr>
        <w:tabs>
          <w:tab w:val="num" w:pos="6731"/>
        </w:tabs>
        <w:ind w:left="6731" w:hanging="180"/>
      </w:pPr>
    </w:lvl>
    <w:lvl w:ilvl="6" w:tplc="0409000F" w:tentative="1">
      <w:start w:val="1"/>
      <w:numFmt w:val="decimal"/>
      <w:lvlText w:val="%7."/>
      <w:lvlJc w:val="left"/>
      <w:pPr>
        <w:tabs>
          <w:tab w:val="num" w:pos="7451"/>
        </w:tabs>
        <w:ind w:left="7451" w:hanging="360"/>
      </w:pPr>
    </w:lvl>
    <w:lvl w:ilvl="7" w:tplc="04090019" w:tentative="1">
      <w:start w:val="1"/>
      <w:numFmt w:val="lowerLetter"/>
      <w:lvlText w:val="%8."/>
      <w:lvlJc w:val="left"/>
      <w:pPr>
        <w:tabs>
          <w:tab w:val="num" w:pos="8171"/>
        </w:tabs>
        <w:ind w:left="8171" w:hanging="360"/>
      </w:pPr>
    </w:lvl>
    <w:lvl w:ilvl="8" w:tplc="0409001B" w:tentative="1">
      <w:start w:val="1"/>
      <w:numFmt w:val="lowerRoman"/>
      <w:lvlText w:val="%9."/>
      <w:lvlJc w:val="right"/>
      <w:pPr>
        <w:tabs>
          <w:tab w:val="num" w:pos="8891"/>
        </w:tabs>
        <w:ind w:left="8891" w:hanging="180"/>
      </w:pPr>
    </w:lvl>
  </w:abstractNum>
  <w:abstractNum w:abstractNumId="8" w15:restartNumberingAfterBreak="0">
    <w:nsid w:val="30BE2110"/>
    <w:multiLevelType w:val="hybridMultilevel"/>
    <w:tmpl w:val="2FE6002C"/>
    <w:lvl w:ilvl="0" w:tplc="847AA654">
      <w:start w:val="12"/>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0F25EC7"/>
    <w:multiLevelType w:val="hybridMultilevel"/>
    <w:tmpl w:val="82347C34"/>
    <w:lvl w:ilvl="0" w:tplc="2FDA4CD8">
      <w:start w:val="1"/>
      <w:numFmt w:val="lowerLetter"/>
      <w:pStyle w:val="Heading4"/>
      <w:lvlText w:val="%1."/>
      <w:lvlJc w:val="left"/>
      <w:pPr>
        <w:tabs>
          <w:tab w:val="num" w:pos="567"/>
        </w:tabs>
        <w:ind w:left="567" w:hanging="567"/>
      </w:pPr>
      <w:rPr>
        <w:rFonts w:ascii="Arial" w:hAnsi="Arial"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9337E0"/>
    <w:multiLevelType w:val="hybridMultilevel"/>
    <w:tmpl w:val="83F4C742"/>
    <w:lvl w:ilvl="0" w:tplc="A100F75E">
      <w:start w:val="2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CD4A4F"/>
    <w:multiLevelType w:val="hybridMultilevel"/>
    <w:tmpl w:val="ED3A5E28"/>
    <w:lvl w:ilvl="0" w:tplc="55F29FB6">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03A7C"/>
    <w:multiLevelType w:val="hybridMultilevel"/>
    <w:tmpl w:val="A7FCDA3C"/>
    <w:lvl w:ilvl="0" w:tplc="5A8631B0">
      <w:start w:val="2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835EB6"/>
    <w:multiLevelType w:val="hybridMultilevel"/>
    <w:tmpl w:val="7DA80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4D2497"/>
    <w:multiLevelType w:val="hybridMultilevel"/>
    <w:tmpl w:val="DB40A46A"/>
    <w:lvl w:ilvl="0" w:tplc="4AFE7F34">
      <w:start w:val="2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8C547E"/>
    <w:multiLevelType w:val="hybridMultilevel"/>
    <w:tmpl w:val="3E304C68"/>
    <w:lvl w:ilvl="0" w:tplc="5FDC1944">
      <w:start w:val="2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A0C6E"/>
    <w:multiLevelType w:val="hybridMultilevel"/>
    <w:tmpl w:val="3B466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B02FE"/>
    <w:multiLevelType w:val="hybridMultilevel"/>
    <w:tmpl w:val="FFB69D4E"/>
    <w:lvl w:ilvl="0" w:tplc="7D16221A">
      <w:start w:val="2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E62DEF"/>
    <w:multiLevelType w:val="hybridMultilevel"/>
    <w:tmpl w:val="BBBEF8EE"/>
    <w:lvl w:ilvl="0" w:tplc="137AA656">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7861B1"/>
    <w:multiLevelType w:val="hybridMultilevel"/>
    <w:tmpl w:val="17D6D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667E38"/>
    <w:multiLevelType w:val="hybridMultilevel"/>
    <w:tmpl w:val="1FB83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83062C7"/>
    <w:multiLevelType w:val="hybridMultilevel"/>
    <w:tmpl w:val="79DC59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E128D9"/>
    <w:multiLevelType w:val="hybridMultilevel"/>
    <w:tmpl w:val="19C05D7C"/>
    <w:lvl w:ilvl="0" w:tplc="6E0E8F7A">
      <w:start w:val="1"/>
      <w:numFmt w:val="upperLetter"/>
      <w:lvlText w:val="%1."/>
      <w:lvlJc w:val="left"/>
      <w:pPr>
        <w:tabs>
          <w:tab w:val="num" w:pos="2978"/>
        </w:tabs>
        <w:ind w:left="2978" w:hanging="567"/>
      </w:pPr>
      <w:rPr>
        <w:rFonts w:ascii="Arial" w:hAnsi="Arial"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851"/>
        </w:tabs>
        <w:ind w:left="3851" w:hanging="360"/>
      </w:pPr>
    </w:lvl>
    <w:lvl w:ilvl="2" w:tplc="0409001B" w:tentative="1">
      <w:start w:val="1"/>
      <w:numFmt w:val="lowerRoman"/>
      <w:lvlText w:val="%3."/>
      <w:lvlJc w:val="right"/>
      <w:pPr>
        <w:tabs>
          <w:tab w:val="num" w:pos="4571"/>
        </w:tabs>
        <w:ind w:left="4571" w:hanging="180"/>
      </w:pPr>
    </w:lvl>
    <w:lvl w:ilvl="3" w:tplc="0409000F" w:tentative="1">
      <w:start w:val="1"/>
      <w:numFmt w:val="decimal"/>
      <w:lvlText w:val="%4."/>
      <w:lvlJc w:val="left"/>
      <w:pPr>
        <w:tabs>
          <w:tab w:val="num" w:pos="5291"/>
        </w:tabs>
        <w:ind w:left="5291" w:hanging="360"/>
      </w:pPr>
    </w:lvl>
    <w:lvl w:ilvl="4" w:tplc="04090019" w:tentative="1">
      <w:start w:val="1"/>
      <w:numFmt w:val="lowerLetter"/>
      <w:lvlText w:val="%5."/>
      <w:lvlJc w:val="left"/>
      <w:pPr>
        <w:tabs>
          <w:tab w:val="num" w:pos="6011"/>
        </w:tabs>
        <w:ind w:left="6011" w:hanging="360"/>
      </w:pPr>
    </w:lvl>
    <w:lvl w:ilvl="5" w:tplc="0409001B" w:tentative="1">
      <w:start w:val="1"/>
      <w:numFmt w:val="lowerRoman"/>
      <w:lvlText w:val="%6."/>
      <w:lvlJc w:val="right"/>
      <w:pPr>
        <w:tabs>
          <w:tab w:val="num" w:pos="6731"/>
        </w:tabs>
        <w:ind w:left="6731" w:hanging="180"/>
      </w:pPr>
    </w:lvl>
    <w:lvl w:ilvl="6" w:tplc="0409000F" w:tentative="1">
      <w:start w:val="1"/>
      <w:numFmt w:val="decimal"/>
      <w:lvlText w:val="%7."/>
      <w:lvlJc w:val="left"/>
      <w:pPr>
        <w:tabs>
          <w:tab w:val="num" w:pos="7451"/>
        </w:tabs>
        <w:ind w:left="7451" w:hanging="360"/>
      </w:pPr>
    </w:lvl>
    <w:lvl w:ilvl="7" w:tplc="04090019" w:tentative="1">
      <w:start w:val="1"/>
      <w:numFmt w:val="lowerLetter"/>
      <w:lvlText w:val="%8."/>
      <w:lvlJc w:val="left"/>
      <w:pPr>
        <w:tabs>
          <w:tab w:val="num" w:pos="8171"/>
        </w:tabs>
        <w:ind w:left="8171" w:hanging="360"/>
      </w:pPr>
    </w:lvl>
    <w:lvl w:ilvl="8" w:tplc="0409001B" w:tentative="1">
      <w:start w:val="1"/>
      <w:numFmt w:val="lowerRoman"/>
      <w:lvlText w:val="%9."/>
      <w:lvlJc w:val="right"/>
      <w:pPr>
        <w:tabs>
          <w:tab w:val="num" w:pos="8891"/>
        </w:tabs>
        <w:ind w:left="8891" w:hanging="180"/>
      </w:pPr>
    </w:lvl>
  </w:abstractNum>
  <w:abstractNum w:abstractNumId="23" w15:restartNumberingAfterBreak="0">
    <w:nsid w:val="69DF4E9A"/>
    <w:multiLevelType w:val="hybridMultilevel"/>
    <w:tmpl w:val="44528CE4"/>
    <w:lvl w:ilvl="0" w:tplc="1FB604A0">
      <w:start w:val="2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67CA5"/>
    <w:multiLevelType w:val="hybridMultilevel"/>
    <w:tmpl w:val="34169A3E"/>
    <w:lvl w:ilvl="0" w:tplc="5D7A7EDA">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B22C8"/>
    <w:multiLevelType w:val="hybridMultilevel"/>
    <w:tmpl w:val="E56046C4"/>
    <w:lvl w:ilvl="0" w:tplc="676C3238">
      <w:start w:val="1"/>
      <w:numFmt w:val="upperRoman"/>
      <w:pStyle w:val="Heading1"/>
      <w:lvlText w:val="%1."/>
      <w:lvlJc w:val="left"/>
      <w:pPr>
        <w:ind w:left="3338" w:hanging="360"/>
      </w:pPr>
      <w:rPr>
        <w:rFonts w:ascii="Arial" w:hAnsi="Arial" w:hint="default"/>
        <w:b/>
        <w:i w:val="0"/>
        <w:caps/>
        <w:sz w:val="24"/>
      </w:rPr>
    </w:lvl>
    <w:lvl w:ilvl="1" w:tplc="FFFFFFFF">
      <w:start w:val="1"/>
      <w:numFmt w:val="bullet"/>
      <w:lvlText w:val="-"/>
      <w:lvlJc w:val="left"/>
      <w:pPr>
        <w:tabs>
          <w:tab w:val="num" w:pos="1440"/>
        </w:tabs>
        <w:ind w:left="1080" w:firstLine="0"/>
      </w:pPr>
      <w:rPr>
        <w:rFonts w:hAnsi="Arial" w:hint="default"/>
        <w:b w:val="0"/>
        <w:i w:val="0"/>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0" w:firstLine="0"/>
      </w:pPr>
      <w:rPr>
        <w:rFonts w:hint="default"/>
      </w:rPr>
    </w:lvl>
    <w:lvl w:ilvl="4" w:tplc="97901958">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44C4D70"/>
    <w:multiLevelType w:val="hybridMultilevel"/>
    <w:tmpl w:val="1CBCD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76116F"/>
    <w:multiLevelType w:val="hybridMultilevel"/>
    <w:tmpl w:val="0FCA3450"/>
    <w:lvl w:ilvl="0" w:tplc="9B5E1500">
      <w:start w:val="2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0801E9"/>
    <w:multiLevelType w:val="hybridMultilevel"/>
    <w:tmpl w:val="B00089A6"/>
    <w:lvl w:ilvl="0" w:tplc="B6D6BE4C">
      <w:start w:val="1"/>
      <w:numFmt w:val="decimal"/>
      <w:pStyle w:val="Heading3"/>
      <w:lvlText w:val="%1."/>
      <w:lvlJc w:val="left"/>
      <w:pPr>
        <w:tabs>
          <w:tab w:val="num" w:pos="567"/>
        </w:tabs>
        <w:ind w:left="567" w:hanging="567"/>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D493773"/>
    <w:multiLevelType w:val="hybridMultilevel"/>
    <w:tmpl w:val="F4DAF9F4"/>
    <w:lvl w:ilvl="0" w:tplc="33B86E38">
      <w:start w:val="3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8"/>
  </w:num>
  <w:num w:numId="3">
    <w:abstractNumId w:val="9"/>
  </w:num>
  <w:num w:numId="4">
    <w:abstractNumId w:val="4"/>
  </w:num>
  <w:num w:numId="5">
    <w:abstractNumId w:val="22"/>
  </w:num>
  <w:num w:numId="6">
    <w:abstractNumId w:val="19"/>
  </w:num>
  <w:num w:numId="7">
    <w:abstractNumId w:val="18"/>
  </w:num>
  <w:num w:numId="8">
    <w:abstractNumId w:val="8"/>
  </w:num>
  <w:num w:numId="9">
    <w:abstractNumId w:val="17"/>
  </w:num>
  <w:num w:numId="10">
    <w:abstractNumId w:val="10"/>
  </w:num>
  <w:num w:numId="11">
    <w:abstractNumId w:val="15"/>
  </w:num>
  <w:num w:numId="12">
    <w:abstractNumId w:val="23"/>
  </w:num>
  <w:num w:numId="13">
    <w:abstractNumId w:val="11"/>
  </w:num>
  <w:num w:numId="14">
    <w:abstractNumId w:val="14"/>
  </w:num>
  <w:num w:numId="15">
    <w:abstractNumId w:val="27"/>
  </w:num>
  <w:num w:numId="16">
    <w:abstractNumId w:val="24"/>
  </w:num>
  <w:num w:numId="17">
    <w:abstractNumId w:val="12"/>
  </w:num>
  <w:num w:numId="18">
    <w:abstractNumId w:val="5"/>
  </w:num>
  <w:num w:numId="19">
    <w:abstractNumId w:val="29"/>
  </w:num>
  <w:num w:numId="20">
    <w:abstractNumId w:val="20"/>
  </w:num>
  <w:num w:numId="21">
    <w:abstractNumId w:val="7"/>
  </w:num>
  <w:num w:numId="22">
    <w:abstractNumId w:val="21"/>
  </w:num>
  <w:num w:numId="23">
    <w:abstractNumId w:val="0"/>
  </w:num>
  <w:num w:numId="24">
    <w:abstractNumId w:val="16"/>
  </w:num>
  <w:num w:numId="25">
    <w:abstractNumId w:val="6"/>
  </w:num>
  <w:num w:numId="26">
    <w:abstractNumId w:val="3"/>
  </w:num>
  <w:num w:numId="27">
    <w:abstractNumId w:val="26"/>
  </w:num>
  <w:num w:numId="28">
    <w:abstractNumId w:val="13"/>
  </w:num>
  <w:num w:numId="29">
    <w:abstractNumId w:val="2"/>
  </w:num>
  <w:num w:numId="30">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EA"/>
    <w:rsid w:val="00005C58"/>
    <w:rsid w:val="00013893"/>
    <w:rsid w:val="000330A9"/>
    <w:rsid w:val="00036779"/>
    <w:rsid w:val="00037F8F"/>
    <w:rsid w:val="00055B06"/>
    <w:rsid w:val="000612B3"/>
    <w:rsid w:val="00063C39"/>
    <w:rsid w:val="00064698"/>
    <w:rsid w:val="000751AB"/>
    <w:rsid w:val="00087388"/>
    <w:rsid w:val="000A6474"/>
    <w:rsid w:val="000B28EC"/>
    <w:rsid w:val="000C0DE5"/>
    <w:rsid w:val="000D0310"/>
    <w:rsid w:val="000D30B6"/>
    <w:rsid w:val="000D773B"/>
    <w:rsid w:val="000F0EE9"/>
    <w:rsid w:val="00101561"/>
    <w:rsid w:val="001020E5"/>
    <w:rsid w:val="0011160A"/>
    <w:rsid w:val="00114443"/>
    <w:rsid w:val="00115683"/>
    <w:rsid w:val="00122DF8"/>
    <w:rsid w:val="001437DB"/>
    <w:rsid w:val="001679C6"/>
    <w:rsid w:val="00174254"/>
    <w:rsid w:val="00174741"/>
    <w:rsid w:val="001818CC"/>
    <w:rsid w:val="001C08FD"/>
    <w:rsid w:val="001D3439"/>
    <w:rsid w:val="001E295B"/>
    <w:rsid w:val="001E5605"/>
    <w:rsid w:val="001E5A0B"/>
    <w:rsid w:val="001F16C6"/>
    <w:rsid w:val="001F2BFD"/>
    <w:rsid w:val="001F4702"/>
    <w:rsid w:val="001F7144"/>
    <w:rsid w:val="00217DD2"/>
    <w:rsid w:val="00224895"/>
    <w:rsid w:val="00226F34"/>
    <w:rsid w:val="00230D83"/>
    <w:rsid w:val="002440C0"/>
    <w:rsid w:val="0027223A"/>
    <w:rsid w:val="00282929"/>
    <w:rsid w:val="002A090F"/>
    <w:rsid w:val="002A3B19"/>
    <w:rsid w:val="002C55FD"/>
    <w:rsid w:val="002C7CF0"/>
    <w:rsid w:val="002E280B"/>
    <w:rsid w:val="002E6CAA"/>
    <w:rsid w:val="002F7548"/>
    <w:rsid w:val="00322FF5"/>
    <w:rsid w:val="00384B76"/>
    <w:rsid w:val="0038588C"/>
    <w:rsid w:val="00393120"/>
    <w:rsid w:val="00393266"/>
    <w:rsid w:val="003946F8"/>
    <w:rsid w:val="00394777"/>
    <w:rsid w:val="003A3BC8"/>
    <w:rsid w:val="003B6A0C"/>
    <w:rsid w:val="003B7FA1"/>
    <w:rsid w:val="003F5D50"/>
    <w:rsid w:val="00407B62"/>
    <w:rsid w:val="004133EC"/>
    <w:rsid w:val="00416164"/>
    <w:rsid w:val="00420F65"/>
    <w:rsid w:val="0042336F"/>
    <w:rsid w:val="004320FC"/>
    <w:rsid w:val="00432587"/>
    <w:rsid w:val="004424B1"/>
    <w:rsid w:val="0044468A"/>
    <w:rsid w:val="00450ED2"/>
    <w:rsid w:val="00472B42"/>
    <w:rsid w:val="00477FC4"/>
    <w:rsid w:val="00483443"/>
    <w:rsid w:val="00491441"/>
    <w:rsid w:val="004A1921"/>
    <w:rsid w:val="004B764B"/>
    <w:rsid w:val="004C19D1"/>
    <w:rsid w:val="004D1DEB"/>
    <w:rsid w:val="004D6D2A"/>
    <w:rsid w:val="004F3B9A"/>
    <w:rsid w:val="004F5260"/>
    <w:rsid w:val="00502999"/>
    <w:rsid w:val="00502EB8"/>
    <w:rsid w:val="00520064"/>
    <w:rsid w:val="005320B1"/>
    <w:rsid w:val="00542224"/>
    <w:rsid w:val="00551967"/>
    <w:rsid w:val="00555535"/>
    <w:rsid w:val="0056046F"/>
    <w:rsid w:val="00566EDA"/>
    <w:rsid w:val="0059094C"/>
    <w:rsid w:val="005B1A1B"/>
    <w:rsid w:val="005B4328"/>
    <w:rsid w:val="005D5967"/>
    <w:rsid w:val="00630E03"/>
    <w:rsid w:val="00632B4A"/>
    <w:rsid w:val="0064747F"/>
    <w:rsid w:val="00652AB6"/>
    <w:rsid w:val="00664848"/>
    <w:rsid w:val="00675EEE"/>
    <w:rsid w:val="00687640"/>
    <w:rsid w:val="006962D6"/>
    <w:rsid w:val="0069697D"/>
    <w:rsid w:val="00696B7D"/>
    <w:rsid w:val="006B431E"/>
    <w:rsid w:val="006B7C34"/>
    <w:rsid w:val="006C365E"/>
    <w:rsid w:val="006C46E7"/>
    <w:rsid w:val="006C7692"/>
    <w:rsid w:val="006D5065"/>
    <w:rsid w:val="006F52B8"/>
    <w:rsid w:val="00734789"/>
    <w:rsid w:val="00751520"/>
    <w:rsid w:val="007650B5"/>
    <w:rsid w:val="00765441"/>
    <w:rsid w:val="00774831"/>
    <w:rsid w:val="00776DB7"/>
    <w:rsid w:val="0078585E"/>
    <w:rsid w:val="0079388F"/>
    <w:rsid w:val="007A4C34"/>
    <w:rsid w:val="007C2116"/>
    <w:rsid w:val="007C2BF7"/>
    <w:rsid w:val="007D348B"/>
    <w:rsid w:val="007D63DD"/>
    <w:rsid w:val="00805C2F"/>
    <w:rsid w:val="0082287A"/>
    <w:rsid w:val="00825AB9"/>
    <w:rsid w:val="00832CCB"/>
    <w:rsid w:val="008438DE"/>
    <w:rsid w:val="00844C22"/>
    <w:rsid w:val="00871B77"/>
    <w:rsid w:val="00873F20"/>
    <w:rsid w:val="00887D97"/>
    <w:rsid w:val="00894AE9"/>
    <w:rsid w:val="008B6554"/>
    <w:rsid w:val="008C0D61"/>
    <w:rsid w:val="008C1225"/>
    <w:rsid w:val="008C5607"/>
    <w:rsid w:val="008F2D7D"/>
    <w:rsid w:val="009056AE"/>
    <w:rsid w:val="00905A49"/>
    <w:rsid w:val="00956EEB"/>
    <w:rsid w:val="00961DC4"/>
    <w:rsid w:val="00963572"/>
    <w:rsid w:val="00964093"/>
    <w:rsid w:val="00966321"/>
    <w:rsid w:val="009775C1"/>
    <w:rsid w:val="00983CE6"/>
    <w:rsid w:val="00992D30"/>
    <w:rsid w:val="009A1CF4"/>
    <w:rsid w:val="009A2FD3"/>
    <w:rsid w:val="009B218D"/>
    <w:rsid w:val="009B605F"/>
    <w:rsid w:val="009E439C"/>
    <w:rsid w:val="00A10B66"/>
    <w:rsid w:val="00A2631F"/>
    <w:rsid w:val="00A27A33"/>
    <w:rsid w:val="00A43803"/>
    <w:rsid w:val="00A44263"/>
    <w:rsid w:val="00A5239A"/>
    <w:rsid w:val="00A5292C"/>
    <w:rsid w:val="00A61C9D"/>
    <w:rsid w:val="00A64B6D"/>
    <w:rsid w:val="00A65D16"/>
    <w:rsid w:val="00A66B3F"/>
    <w:rsid w:val="00A75877"/>
    <w:rsid w:val="00A87841"/>
    <w:rsid w:val="00AA1982"/>
    <w:rsid w:val="00AA1BCA"/>
    <w:rsid w:val="00AA693B"/>
    <w:rsid w:val="00AB6650"/>
    <w:rsid w:val="00AD0D30"/>
    <w:rsid w:val="00AE7B83"/>
    <w:rsid w:val="00B03EA9"/>
    <w:rsid w:val="00B10E64"/>
    <w:rsid w:val="00B25605"/>
    <w:rsid w:val="00B3311A"/>
    <w:rsid w:val="00B411F1"/>
    <w:rsid w:val="00B4413F"/>
    <w:rsid w:val="00B626D4"/>
    <w:rsid w:val="00B67BEF"/>
    <w:rsid w:val="00B70B89"/>
    <w:rsid w:val="00B75E72"/>
    <w:rsid w:val="00B760E5"/>
    <w:rsid w:val="00B77353"/>
    <w:rsid w:val="00BB320B"/>
    <w:rsid w:val="00BC1718"/>
    <w:rsid w:val="00BE3125"/>
    <w:rsid w:val="00BE4BDF"/>
    <w:rsid w:val="00BF08D5"/>
    <w:rsid w:val="00C02C3A"/>
    <w:rsid w:val="00C13E9C"/>
    <w:rsid w:val="00C20C89"/>
    <w:rsid w:val="00C2177A"/>
    <w:rsid w:val="00C24904"/>
    <w:rsid w:val="00C353D0"/>
    <w:rsid w:val="00C53886"/>
    <w:rsid w:val="00C60DC6"/>
    <w:rsid w:val="00C673D7"/>
    <w:rsid w:val="00C77229"/>
    <w:rsid w:val="00C8401C"/>
    <w:rsid w:val="00C90D91"/>
    <w:rsid w:val="00C943CA"/>
    <w:rsid w:val="00C9644F"/>
    <w:rsid w:val="00C97B99"/>
    <w:rsid w:val="00CA36D3"/>
    <w:rsid w:val="00CB27A5"/>
    <w:rsid w:val="00CB2FED"/>
    <w:rsid w:val="00CC38B5"/>
    <w:rsid w:val="00CD48C4"/>
    <w:rsid w:val="00CE17F8"/>
    <w:rsid w:val="00D00B91"/>
    <w:rsid w:val="00D01040"/>
    <w:rsid w:val="00D15B8C"/>
    <w:rsid w:val="00D22708"/>
    <w:rsid w:val="00D322D1"/>
    <w:rsid w:val="00D43698"/>
    <w:rsid w:val="00D45BE4"/>
    <w:rsid w:val="00D50FA5"/>
    <w:rsid w:val="00D52A05"/>
    <w:rsid w:val="00D5537F"/>
    <w:rsid w:val="00D55FEA"/>
    <w:rsid w:val="00D63792"/>
    <w:rsid w:val="00D75E2F"/>
    <w:rsid w:val="00D820C2"/>
    <w:rsid w:val="00D859A6"/>
    <w:rsid w:val="00D97021"/>
    <w:rsid w:val="00DD0407"/>
    <w:rsid w:val="00DD3B59"/>
    <w:rsid w:val="00DD6AB2"/>
    <w:rsid w:val="00DF070F"/>
    <w:rsid w:val="00E11330"/>
    <w:rsid w:val="00E27350"/>
    <w:rsid w:val="00E33A11"/>
    <w:rsid w:val="00E43218"/>
    <w:rsid w:val="00E5016C"/>
    <w:rsid w:val="00E601E0"/>
    <w:rsid w:val="00E72F8C"/>
    <w:rsid w:val="00E82B20"/>
    <w:rsid w:val="00EA1468"/>
    <w:rsid w:val="00EA37AA"/>
    <w:rsid w:val="00EA5BF4"/>
    <w:rsid w:val="00EA62FD"/>
    <w:rsid w:val="00EA772A"/>
    <w:rsid w:val="00EB0720"/>
    <w:rsid w:val="00ED59D3"/>
    <w:rsid w:val="00ED73B8"/>
    <w:rsid w:val="00EF1618"/>
    <w:rsid w:val="00F02033"/>
    <w:rsid w:val="00F051C5"/>
    <w:rsid w:val="00F0745C"/>
    <w:rsid w:val="00F103E6"/>
    <w:rsid w:val="00F213E5"/>
    <w:rsid w:val="00F22FFB"/>
    <w:rsid w:val="00F3285D"/>
    <w:rsid w:val="00F33FA8"/>
    <w:rsid w:val="00F34D57"/>
    <w:rsid w:val="00F36089"/>
    <w:rsid w:val="00F50DAA"/>
    <w:rsid w:val="00F512C9"/>
    <w:rsid w:val="00F515EB"/>
    <w:rsid w:val="00F62366"/>
    <w:rsid w:val="00F73B05"/>
    <w:rsid w:val="00F96463"/>
    <w:rsid w:val="00FA304D"/>
    <w:rsid w:val="00FA6FF0"/>
    <w:rsid w:val="00FC38D2"/>
    <w:rsid w:val="00FC59A4"/>
    <w:rsid w:val="00FC6E48"/>
    <w:rsid w:val="00FE0F4E"/>
    <w:rsid w:val="00FF282E"/>
    <w:rsid w:val="00FF2B9F"/>
    <w:rsid w:val="00FF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55A348"/>
  <w15:docId w15:val="{0768E193-8988-4CFD-9FEF-36A7F377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66EDA"/>
    <w:pPr>
      <w:tabs>
        <w:tab w:val="left" w:pos="567"/>
      </w:tabs>
      <w:overflowPunct w:val="0"/>
      <w:autoSpaceDE w:val="0"/>
      <w:autoSpaceDN w:val="0"/>
      <w:adjustRightInd w:val="0"/>
      <w:jc w:val="both"/>
      <w:textAlignment w:val="baseline"/>
    </w:pPr>
    <w:rPr>
      <w:rFonts w:ascii="Arial" w:hAnsi="Arial" w:cs="Arial"/>
      <w:sz w:val="22"/>
      <w:szCs w:val="22"/>
      <w:lang w:val="fr-FR" w:eastAsia="en-US"/>
    </w:rPr>
  </w:style>
  <w:style w:type="paragraph" w:styleId="Heading1">
    <w:name w:val="heading 1"/>
    <w:basedOn w:val="Normal"/>
    <w:next w:val="Normal"/>
    <w:link w:val="Heading1Char"/>
    <w:uiPriority w:val="9"/>
    <w:qFormat/>
    <w:rsid w:val="00416164"/>
    <w:pPr>
      <w:keepNext/>
      <w:numPr>
        <w:numId w:val="1"/>
      </w:numPr>
      <w:tabs>
        <w:tab w:val="clear" w:pos="567"/>
      </w:tabs>
      <w:ind w:left="360"/>
      <w:outlineLvl w:val="0"/>
    </w:pPr>
    <w:rPr>
      <w:b/>
      <w:bCs/>
      <w:iCs/>
      <w:caps/>
      <w:szCs w:val="24"/>
    </w:rPr>
  </w:style>
  <w:style w:type="paragraph" w:styleId="Heading2">
    <w:name w:val="heading 2"/>
    <w:basedOn w:val="Normal"/>
    <w:next w:val="Normal"/>
    <w:qFormat/>
    <w:rsid w:val="00416164"/>
    <w:pPr>
      <w:keepNext/>
      <w:numPr>
        <w:numId w:val="21"/>
      </w:numPr>
      <w:tabs>
        <w:tab w:val="left" w:pos="1134"/>
      </w:tabs>
      <w:jc w:val="left"/>
      <w:outlineLvl w:val="1"/>
    </w:pPr>
    <w:rPr>
      <w:b/>
      <w:bCs/>
      <w:caps/>
      <w:szCs w:val="24"/>
    </w:rPr>
  </w:style>
  <w:style w:type="paragraph" w:styleId="Heading3">
    <w:name w:val="heading 3"/>
    <w:basedOn w:val="Normal"/>
    <w:next w:val="Normal"/>
    <w:qFormat/>
    <w:rsid w:val="00416164"/>
    <w:pPr>
      <w:keepNext/>
      <w:numPr>
        <w:numId w:val="2"/>
      </w:numPr>
      <w:tabs>
        <w:tab w:val="clear" w:pos="567"/>
        <w:tab w:val="left" w:pos="1701"/>
      </w:tabs>
      <w:ind w:left="1701"/>
      <w:jc w:val="left"/>
      <w:outlineLvl w:val="2"/>
    </w:pPr>
    <w:rPr>
      <w:b/>
      <w:bCs/>
    </w:rPr>
  </w:style>
  <w:style w:type="paragraph" w:styleId="Heading4">
    <w:name w:val="heading 4"/>
    <w:basedOn w:val="Normal"/>
    <w:next w:val="Normal"/>
    <w:qFormat/>
    <w:rsid w:val="00224895"/>
    <w:pPr>
      <w:keepNext/>
      <w:numPr>
        <w:numId w:val="3"/>
      </w:numPr>
      <w:jc w:val="left"/>
      <w:outlineLvl w:val="3"/>
    </w:pPr>
    <w:rPr>
      <w:b/>
      <w:bCs/>
      <w:i/>
      <w:szCs w:val="32"/>
    </w:rPr>
  </w:style>
  <w:style w:type="paragraph" w:styleId="Heading5">
    <w:name w:val="heading 5"/>
    <w:basedOn w:val="Normal"/>
    <w:next w:val="Normal"/>
    <w:qFormat/>
    <w:rsid w:val="00224895"/>
    <w:pPr>
      <w:keepNext/>
      <w:jc w:val="center"/>
      <w:outlineLvl w:val="4"/>
    </w:pPr>
    <w:rPr>
      <w:b/>
      <w:bCs/>
      <w:szCs w:val="28"/>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tabs>
        <w:tab w:val="clear" w:pos="567"/>
      </w:tabs>
      <w:overflowPunct/>
      <w:autoSpaceDE/>
      <w:autoSpaceDN/>
      <w:adjustRightInd/>
      <w:spacing w:before="240" w:after="60"/>
      <w:jc w:val="left"/>
      <w:textAlignment w:val="auto"/>
      <w:outlineLvl w:val="6"/>
    </w:pPr>
    <w:rPr>
      <w:rFonts w:ascii="Times New Roman" w:hAnsi="Times New Roman" w:cs="Times New Roman"/>
      <w:sz w:val="24"/>
      <w:szCs w:val="20"/>
    </w:rPr>
  </w:style>
  <w:style w:type="paragraph" w:styleId="Heading8">
    <w:name w:val="heading 8"/>
    <w:basedOn w:val="Normal"/>
    <w:next w:val="Normal"/>
    <w:qFormat/>
    <w:pPr>
      <w:tabs>
        <w:tab w:val="clear" w:pos="567"/>
      </w:tabs>
      <w:overflowPunct/>
      <w:autoSpaceDE/>
      <w:autoSpaceDN/>
      <w:adjustRightInd/>
      <w:spacing w:before="240" w:after="60"/>
      <w:jc w:val="left"/>
      <w:textAlignment w:val="auto"/>
      <w:outlineLvl w:val="7"/>
    </w:pPr>
    <w:rPr>
      <w:rFonts w:ascii="Times New Roman" w:hAnsi="Times New Roman" w:cs="Times New Roman"/>
      <w:i/>
      <w:sz w:val="24"/>
      <w:szCs w:val="20"/>
    </w:rPr>
  </w:style>
  <w:style w:type="paragraph" w:styleId="Heading9">
    <w:name w:val="heading 9"/>
    <w:basedOn w:val="Normal"/>
    <w:next w:val="Normal"/>
    <w:qFormat/>
    <w:pPr>
      <w:tabs>
        <w:tab w:val="clear" w:pos="567"/>
      </w:tabs>
      <w:overflowPunct/>
      <w:autoSpaceDE/>
      <w:autoSpaceDN/>
      <w:adjustRightInd/>
      <w:spacing w:before="240" w:after="60"/>
      <w:jc w:val="left"/>
      <w:textAlignment w:val="auto"/>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2" w:space="3" w:color="auto" w:shadow="1"/>
        <w:left w:val="single" w:sz="12" w:space="3" w:color="auto" w:shadow="1"/>
        <w:bottom w:val="single" w:sz="12" w:space="3" w:color="auto" w:shadow="1"/>
        <w:right w:val="single" w:sz="12" w:space="3" w:color="auto" w:shadow="1"/>
      </w:pBdr>
      <w:ind w:left="7655" w:right="323"/>
      <w:jc w:val="center"/>
    </w:pPr>
    <w:rPr>
      <w:b/>
      <w:bCs/>
      <w:smallCaps/>
      <w:sz w:val="32"/>
      <w:szCs w:val="32"/>
    </w:rPr>
  </w:style>
  <w:style w:type="paragraph" w:styleId="BodyText">
    <w:name w:val="Body Text"/>
    <w:basedOn w:val="Normal"/>
  </w:style>
  <w:style w:type="paragraph" w:styleId="Header">
    <w:name w:val="header"/>
    <w:basedOn w:val="Normal"/>
    <w:next w:val="Normal"/>
    <w:link w:val="HeaderChar"/>
    <w:autoRedefine/>
    <w:uiPriority w:val="99"/>
    <w:rsid w:val="007A4C34"/>
    <w:pPr>
      <w:pBdr>
        <w:bottom w:val="single" w:sz="4" w:space="1" w:color="D9D9D9"/>
      </w:pBdr>
      <w:tabs>
        <w:tab w:val="clear" w:pos="567"/>
        <w:tab w:val="left" w:pos="0"/>
        <w:tab w:val="center" w:pos="4820"/>
        <w:tab w:val="right" w:pos="9639"/>
      </w:tabs>
      <w:jc w:val="center"/>
    </w:pPr>
    <w:rPr>
      <w:bCs/>
      <w:noProof/>
    </w:r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styleId="TOC2">
    <w:name w:val="toc 2"/>
    <w:basedOn w:val="Normal"/>
    <w:next w:val="Normal"/>
    <w:autoRedefine/>
    <w:uiPriority w:val="39"/>
    <w:qFormat/>
    <w:pPr>
      <w:tabs>
        <w:tab w:val="left" w:pos="1134"/>
        <w:tab w:val="right" w:leader="dot" w:pos="9629"/>
      </w:tabs>
      <w:ind w:left="1134" w:hanging="1134"/>
    </w:pPr>
    <w:rPr>
      <w:noProof/>
    </w:rPr>
  </w:style>
  <w:style w:type="paragraph" w:styleId="TOC1">
    <w:name w:val="toc 1"/>
    <w:basedOn w:val="Normal"/>
    <w:next w:val="Normal"/>
    <w:autoRedefine/>
    <w:uiPriority w:val="39"/>
    <w:qFormat/>
    <w:rsid w:val="00E43218"/>
    <w:pPr>
      <w:tabs>
        <w:tab w:val="right" w:leader="dot" w:pos="9629"/>
      </w:tabs>
      <w:ind w:left="567" w:hanging="567"/>
    </w:pPr>
    <w:rPr>
      <w:b/>
      <w:bCs/>
      <w:i/>
      <w:iCs/>
      <w:caps/>
      <w:noProof/>
      <w:sz w:val="24"/>
      <w:szCs w:val="24"/>
    </w:rPr>
  </w:style>
  <w:style w:type="paragraph" w:styleId="TOC3">
    <w:name w:val="toc 3"/>
    <w:basedOn w:val="Normal"/>
    <w:next w:val="Normal"/>
    <w:autoRedefine/>
    <w:uiPriority w:val="39"/>
    <w:semiHidden/>
    <w:qFormat/>
    <w:pPr>
      <w:tabs>
        <w:tab w:val="clear" w:pos="567"/>
        <w:tab w:val="left" w:pos="1134"/>
        <w:tab w:val="left" w:pos="1701"/>
        <w:tab w:val="right" w:leader="dot" w:pos="9629"/>
      </w:tabs>
      <w:ind w:firstLine="567"/>
    </w:pPr>
    <w:rPr>
      <w:noProof/>
    </w:rPr>
  </w:style>
  <w:style w:type="paragraph" w:styleId="TOC4">
    <w:name w:val="toc 4"/>
    <w:basedOn w:val="Normal"/>
    <w:next w:val="Normal"/>
    <w:autoRedefine/>
    <w:semiHidden/>
    <w:pPr>
      <w:tabs>
        <w:tab w:val="clear" w:pos="567"/>
      </w:tabs>
      <w:ind w:left="660"/>
    </w:pPr>
  </w:style>
  <w:style w:type="paragraph" w:styleId="TOC5">
    <w:name w:val="toc 5"/>
    <w:basedOn w:val="Normal"/>
    <w:next w:val="Normal"/>
    <w:autoRedefine/>
    <w:semiHidden/>
    <w:pPr>
      <w:tabs>
        <w:tab w:val="clear" w:pos="567"/>
      </w:tabs>
      <w:ind w:left="880"/>
    </w:pPr>
  </w:style>
  <w:style w:type="paragraph" w:styleId="TOC6">
    <w:name w:val="toc 6"/>
    <w:basedOn w:val="Normal"/>
    <w:next w:val="Normal"/>
    <w:autoRedefine/>
    <w:semiHidden/>
    <w:pPr>
      <w:tabs>
        <w:tab w:val="clear" w:pos="567"/>
      </w:tabs>
      <w:ind w:left="1100"/>
    </w:pPr>
  </w:style>
  <w:style w:type="paragraph" w:styleId="TOC7">
    <w:name w:val="toc 7"/>
    <w:basedOn w:val="Normal"/>
    <w:next w:val="Normal"/>
    <w:autoRedefine/>
    <w:semiHidden/>
    <w:pPr>
      <w:tabs>
        <w:tab w:val="clear" w:pos="567"/>
      </w:tabs>
      <w:ind w:left="1320"/>
    </w:pPr>
  </w:style>
  <w:style w:type="paragraph" w:styleId="TOC8">
    <w:name w:val="toc 8"/>
    <w:basedOn w:val="Normal"/>
    <w:next w:val="Normal"/>
    <w:autoRedefine/>
    <w:semiHidden/>
    <w:pPr>
      <w:tabs>
        <w:tab w:val="clear" w:pos="567"/>
      </w:tabs>
      <w:ind w:left="1540"/>
    </w:pPr>
  </w:style>
  <w:style w:type="paragraph" w:styleId="TOC9">
    <w:name w:val="toc 9"/>
    <w:basedOn w:val="Normal"/>
    <w:next w:val="Normal"/>
    <w:autoRedefine/>
    <w:semiHidden/>
    <w:pPr>
      <w:tabs>
        <w:tab w:val="clear" w:pos="567"/>
      </w:tabs>
      <w:ind w:left="1760"/>
    </w:pPr>
  </w:style>
  <w:style w:type="character" w:styleId="Hyperlink">
    <w:name w:val="Hyperlink"/>
    <w:uiPriority w:val="99"/>
    <w:rPr>
      <w:color w:val="0000FF"/>
      <w:u w:val="single"/>
    </w:rPr>
  </w:style>
  <w:style w:type="paragraph" w:styleId="BodyText2">
    <w:name w:val="Body Text 2"/>
    <w:basedOn w:val="Normal"/>
    <w:pPr>
      <w:spacing w:after="120" w:line="480" w:lineRule="auto"/>
    </w:pPr>
  </w:style>
  <w:style w:type="character" w:styleId="Strong">
    <w:name w:val="Strong"/>
    <w:qFormat/>
    <w:rPr>
      <w:b/>
      <w:bCs/>
    </w:rPr>
  </w:style>
  <w:style w:type="paragraph" w:styleId="Subtitle">
    <w:name w:val="Subtitle"/>
    <w:basedOn w:val="Normal"/>
    <w:qFormat/>
    <w:pPr>
      <w:tabs>
        <w:tab w:val="clear" w:pos="567"/>
      </w:tabs>
      <w:overflowPunct/>
      <w:autoSpaceDE/>
      <w:autoSpaceDN/>
      <w:adjustRightInd/>
      <w:jc w:val="left"/>
      <w:textAlignment w:val="auto"/>
    </w:pPr>
    <w:rPr>
      <w:b/>
      <w:bCs/>
    </w:rPr>
  </w:style>
  <w:style w:type="paragraph" w:styleId="BodyTextIndent2">
    <w:name w:val="Body Text Indent 2"/>
    <w:basedOn w:val="Normal"/>
    <w:pPr>
      <w:tabs>
        <w:tab w:val="clear" w:pos="567"/>
      </w:tabs>
      <w:overflowPunct/>
      <w:autoSpaceDE/>
      <w:autoSpaceDN/>
      <w:adjustRightInd/>
      <w:ind w:firstLine="720"/>
      <w:textAlignment w:val="auto"/>
    </w:pPr>
    <w:rPr>
      <w:color w:val="000000"/>
      <w:szCs w:val="24"/>
    </w:rPr>
  </w:style>
  <w:style w:type="paragraph" w:styleId="BodyTextIndent">
    <w:name w:val="Body Text Indent"/>
    <w:basedOn w:val="Normal"/>
    <w:pPr>
      <w:tabs>
        <w:tab w:val="clear" w:pos="567"/>
      </w:tabs>
      <w:overflowPunct/>
      <w:autoSpaceDE/>
      <w:autoSpaceDN/>
      <w:adjustRightInd/>
      <w:ind w:left="720"/>
      <w:jc w:val="left"/>
      <w:textAlignment w:val="auto"/>
    </w:pPr>
    <w:rPr>
      <w:rFonts w:cs="Times New Roman"/>
      <w:szCs w:val="20"/>
    </w:rPr>
  </w:style>
  <w:style w:type="paragraph" w:styleId="NormalWeb">
    <w:name w:val="Normal (Web)"/>
    <w:basedOn w:val="Normal"/>
    <w:pPr>
      <w:tabs>
        <w:tab w:val="clear" w:pos="567"/>
      </w:tabs>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styleId="FollowedHyperlink">
    <w:name w:val="FollowedHyperlink"/>
    <w:uiPriority w:val="99"/>
    <w:rPr>
      <w:color w:val="800080"/>
      <w:u w:val="single"/>
    </w:rPr>
  </w:style>
  <w:style w:type="paragraph" w:styleId="BodyText3">
    <w:name w:val="Body Text 3"/>
    <w:basedOn w:val="Normal"/>
    <w:pPr>
      <w:tabs>
        <w:tab w:val="clear" w:pos="567"/>
      </w:tabs>
      <w:overflowPunct/>
      <w:autoSpaceDE/>
      <w:autoSpaceDN/>
      <w:adjustRightInd/>
      <w:textAlignment w:val="auto"/>
    </w:pPr>
    <w:rPr>
      <w:rFonts w:cs="Times New Roman"/>
      <w:color w:val="000000"/>
      <w:szCs w:val="20"/>
      <w:lang w:val="en-US"/>
    </w:rPr>
  </w:style>
  <w:style w:type="character" w:customStyle="1" w:styleId="bodyzw1">
    <w:name w:val="bodyzw1"/>
    <w:rPr>
      <w:rFonts w:ascii="Arial" w:hAnsi="Arial" w:cs="Arial" w:hint="default"/>
      <w:i w:val="0"/>
      <w:iCs w:val="0"/>
      <w:strike w:val="0"/>
      <w:dstrike w:val="0"/>
      <w:color w:val="000000"/>
      <w:sz w:val="20"/>
      <w:szCs w:val="20"/>
      <w:u w:val="none"/>
      <w:effect w:val="none"/>
    </w:rPr>
  </w:style>
  <w:style w:type="paragraph" w:styleId="BodyTextIndent3">
    <w:name w:val="Body Text Indent 3"/>
    <w:basedOn w:val="Normal"/>
    <w:pPr>
      <w:tabs>
        <w:tab w:val="clear" w:pos="567"/>
      </w:tabs>
      <w:overflowPunct/>
      <w:autoSpaceDE/>
      <w:autoSpaceDN/>
      <w:adjustRightInd/>
      <w:ind w:firstLine="720"/>
      <w:textAlignment w:val="auto"/>
    </w:pPr>
    <w:rPr>
      <w:szCs w:val="24"/>
    </w:rPr>
  </w:style>
  <w:style w:type="paragraph" w:customStyle="1" w:styleId="bodytext20">
    <w:name w:val="bodytext2"/>
    <w:basedOn w:val="Normal"/>
    <w:pPr>
      <w:tabs>
        <w:tab w:val="clear" w:pos="567"/>
      </w:tabs>
      <w:overflowPunct/>
      <w:autoSpaceDE/>
      <w:autoSpaceDN/>
      <w:adjustRightInd/>
      <w:spacing w:before="100" w:beforeAutospacing="1" w:after="100" w:afterAutospacing="1"/>
      <w:jc w:val="left"/>
      <w:textAlignment w:val="auto"/>
    </w:pPr>
    <w:rPr>
      <w:rFonts w:eastAsia="Arial Unicode MS"/>
      <w:color w:val="000033"/>
      <w:sz w:val="24"/>
      <w:szCs w:val="24"/>
    </w:rPr>
  </w:style>
  <w:style w:type="character" w:customStyle="1" w:styleId="bodytext21">
    <w:name w:val="bodytext21"/>
    <w:rPr>
      <w:rFonts w:ascii="Arial" w:hAnsi="Arial" w:cs="Arial" w:hint="default"/>
      <w:b w:val="0"/>
      <w:bCs w:val="0"/>
      <w:i w:val="0"/>
      <w:iCs w:val="0"/>
      <w:color w:val="000033"/>
      <w:sz w:val="24"/>
      <w:szCs w:val="24"/>
    </w:rPr>
  </w:style>
  <w:style w:type="paragraph" w:styleId="BlockText">
    <w:name w:val="Block Text"/>
    <w:basedOn w:val="Normal"/>
    <w:pPr>
      <w:tabs>
        <w:tab w:val="right" w:pos="8931"/>
      </w:tabs>
      <w:ind w:left="567" w:right="454" w:hanging="283"/>
      <w:jc w:val="center"/>
    </w:pPr>
  </w:style>
  <w:style w:type="paragraph" w:styleId="Caption">
    <w:name w:val="caption"/>
    <w:basedOn w:val="Normal"/>
    <w:next w:val="Normal"/>
    <w:qFormat/>
    <w:pPr>
      <w:jc w:val="center"/>
    </w:pPr>
    <w:rPr>
      <w:rFonts w:ascii="Arial (W1)" w:hAnsi="Arial (W1)"/>
      <w:b/>
      <w:sz w:val="38"/>
    </w:rPr>
  </w:style>
  <w:style w:type="character" w:customStyle="1" w:styleId="HeaderChar">
    <w:name w:val="Header Char"/>
    <w:link w:val="Header"/>
    <w:uiPriority w:val="99"/>
    <w:rsid w:val="007A4C34"/>
    <w:rPr>
      <w:rFonts w:ascii="Arial" w:hAnsi="Arial" w:cs="Arial"/>
      <w:bCs/>
      <w:noProof/>
      <w:sz w:val="22"/>
      <w:szCs w:val="22"/>
      <w:lang w:val="en-GB" w:eastAsia="en-US"/>
    </w:rPr>
  </w:style>
  <w:style w:type="character" w:customStyle="1" w:styleId="FooterChar">
    <w:name w:val="Footer Char"/>
    <w:link w:val="Footer"/>
    <w:uiPriority w:val="99"/>
    <w:rsid w:val="000A6474"/>
    <w:rPr>
      <w:rFonts w:ascii="Arial" w:hAnsi="Arial" w:cs="Arial"/>
      <w:sz w:val="22"/>
      <w:szCs w:val="22"/>
      <w:lang w:val="en-GB" w:eastAsia="en-US"/>
    </w:rPr>
  </w:style>
  <w:style w:type="paragraph" w:styleId="BalloonText">
    <w:name w:val="Balloon Text"/>
    <w:basedOn w:val="Normal"/>
    <w:link w:val="BalloonTextChar"/>
    <w:uiPriority w:val="99"/>
    <w:rsid w:val="0044468A"/>
    <w:rPr>
      <w:rFonts w:ascii="Tahoma" w:hAnsi="Tahoma" w:cs="Tahoma"/>
      <w:sz w:val="16"/>
      <w:szCs w:val="16"/>
    </w:rPr>
  </w:style>
  <w:style w:type="character" w:customStyle="1" w:styleId="BalloonTextChar">
    <w:name w:val="Balloon Text Char"/>
    <w:link w:val="BalloonText"/>
    <w:uiPriority w:val="99"/>
    <w:rsid w:val="0044468A"/>
    <w:rPr>
      <w:rFonts w:ascii="Tahoma" w:hAnsi="Tahoma" w:cs="Tahoma"/>
      <w:sz w:val="16"/>
      <w:szCs w:val="16"/>
      <w:lang w:eastAsia="en-US"/>
    </w:rPr>
  </w:style>
  <w:style w:type="paragraph" w:styleId="TOCHeading">
    <w:name w:val="TOC Heading"/>
    <w:basedOn w:val="Heading1"/>
    <w:next w:val="Normal"/>
    <w:uiPriority w:val="39"/>
    <w:unhideWhenUsed/>
    <w:qFormat/>
    <w:rsid w:val="00D55FEA"/>
    <w:pPr>
      <w:keepLines/>
      <w:numPr>
        <w:numId w:val="0"/>
      </w:numPr>
      <w:overflowPunct/>
      <w:autoSpaceDE/>
      <w:autoSpaceDN/>
      <w:adjustRightInd/>
      <w:spacing w:before="480" w:line="276" w:lineRule="auto"/>
      <w:jc w:val="left"/>
      <w:textAlignment w:val="auto"/>
      <w:outlineLvl w:val="9"/>
    </w:pPr>
    <w:rPr>
      <w:rFonts w:ascii="Cambria" w:eastAsia="MS Gothic" w:hAnsi="Cambria" w:cs="Times New Roman"/>
      <w:iCs w:val="0"/>
      <w:caps w:val="0"/>
      <w:color w:val="365F91"/>
      <w:sz w:val="28"/>
      <w:szCs w:val="28"/>
      <w:lang w:val="en-US" w:eastAsia="ja-JP"/>
    </w:rPr>
  </w:style>
  <w:style w:type="paragraph" w:styleId="ListParagraph">
    <w:name w:val="List Paragraph"/>
    <w:basedOn w:val="Normal"/>
    <w:uiPriority w:val="34"/>
    <w:qFormat/>
    <w:rsid w:val="00D55FEA"/>
    <w:pPr>
      <w:tabs>
        <w:tab w:val="clear" w:pos="567"/>
      </w:tabs>
      <w:overflowPunct/>
      <w:autoSpaceDE/>
      <w:autoSpaceDN/>
      <w:adjustRightInd/>
      <w:ind w:left="720"/>
      <w:contextualSpacing/>
      <w:jc w:val="left"/>
      <w:textAlignment w:val="auto"/>
    </w:pPr>
    <w:rPr>
      <w:rFonts w:ascii="Calibri" w:eastAsia="Calibri" w:hAnsi="Calibri" w:cs="Times New Roman"/>
      <w:lang w:val="en-US"/>
    </w:rPr>
  </w:style>
  <w:style w:type="character" w:customStyle="1" w:styleId="FootnoteTextChar">
    <w:name w:val="Footnote Text Char"/>
    <w:link w:val="FootnoteText"/>
    <w:uiPriority w:val="99"/>
    <w:rsid w:val="00D55FEA"/>
    <w:rPr>
      <w:rFonts w:ascii="Arial" w:hAnsi="Arial" w:cs="Arial"/>
      <w:lang w:val="fr-FR"/>
    </w:rPr>
  </w:style>
  <w:style w:type="character" w:customStyle="1" w:styleId="Heading1Char">
    <w:name w:val="Heading 1 Char"/>
    <w:link w:val="Heading1"/>
    <w:uiPriority w:val="9"/>
    <w:rsid w:val="00D55FEA"/>
    <w:rPr>
      <w:rFonts w:ascii="Arial" w:hAnsi="Arial" w:cs="Arial"/>
      <w:b/>
      <w:bCs/>
      <w:iCs/>
      <w:caps/>
      <w:sz w:val="22"/>
      <w:szCs w:val="24"/>
      <w:lang w:val="fr-FR" w:eastAsia="en-US"/>
    </w:rPr>
  </w:style>
  <w:style w:type="character" w:styleId="CommentReference">
    <w:name w:val="annotation reference"/>
    <w:uiPriority w:val="99"/>
    <w:unhideWhenUsed/>
    <w:rsid w:val="00D55FEA"/>
    <w:rPr>
      <w:sz w:val="18"/>
      <w:szCs w:val="18"/>
    </w:rPr>
  </w:style>
  <w:style w:type="paragraph" w:styleId="CommentText">
    <w:name w:val="annotation text"/>
    <w:basedOn w:val="Normal"/>
    <w:link w:val="CommentTextChar"/>
    <w:uiPriority w:val="99"/>
    <w:unhideWhenUsed/>
    <w:rsid w:val="00D55FEA"/>
    <w:pPr>
      <w:tabs>
        <w:tab w:val="clear" w:pos="567"/>
      </w:tabs>
      <w:overflowPunct/>
      <w:autoSpaceDE/>
      <w:autoSpaceDN/>
      <w:adjustRightInd/>
      <w:jc w:val="left"/>
      <w:textAlignment w:val="auto"/>
    </w:pPr>
    <w:rPr>
      <w:rFonts w:ascii="Calibri" w:eastAsia="Calibri" w:hAnsi="Calibri" w:cs="Times New Roman"/>
      <w:sz w:val="24"/>
      <w:szCs w:val="24"/>
      <w:lang w:val="en-US"/>
    </w:rPr>
  </w:style>
  <w:style w:type="character" w:customStyle="1" w:styleId="CommentTextChar">
    <w:name w:val="Comment Text Char"/>
    <w:link w:val="CommentText"/>
    <w:uiPriority w:val="99"/>
    <w:rsid w:val="00D55FEA"/>
    <w:rPr>
      <w:rFonts w:ascii="Calibri" w:eastAsia="Calibri" w:hAnsi="Calibri"/>
      <w:sz w:val="24"/>
      <w:szCs w:val="24"/>
    </w:rPr>
  </w:style>
  <w:style w:type="paragraph" w:styleId="CommentSubject">
    <w:name w:val="annotation subject"/>
    <w:basedOn w:val="CommentText"/>
    <w:next w:val="CommentText"/>
    <w:link w:val="CommentSubjectChar"/>
    <w:uiPriority w:val="99"/>
    <w:unhideWhenUsed/>
    <w:rsid w:val="00D55FEA"/>
    <w:rPr>
      <w:b/>
      <w:bCs/>
      <w:sz w:val="20"/>
      <w:szCs w:val="20"/>
    </w:rPr>
  </w:style>
  <w:style w:type="character" w:customStyle="1" w:styleId="CommentSubjectChar">
    <w:name w:val="Comment Subject Char"/>
    <w:link w:val="CommentSubject"/>
    <w:uiPriority w:val="99"/>
    <w:rsid w:val="00D55FEA"/>
    <w:rPr>
      <w:rFonts w:ascii="Calibri" w:eastAsia="Calibri" w:hAnsi="Calibri"/>
      <w:b/>
      <w:bCs/>
      <w:sz w:val="24"/>
      <w:szCs w:val="24"/>
    </w:rPr>
  </w:style>
  <w:style w:type="paragraph" w:styleId="Revision">
    <w:name w:val="Revision"/>
    <w:hidden/>
    <w:uiPriority w:val="99"/>
    <w:semiHidden/>
    <w:rsid w:val="00D55FEA"/>
    <w:rPr>
      <w:rFonts w:ascii="Calibri" w:eastAsia="Calibri" w:hAnsi="Calibri"/>
      <w:sz w:val="22"/>
      <w:szCs w:val="22"/>
      <w:lang w:val="en-US" w:eastAsia="en-US"/>
    </w:rPr>
  </w:style>
  <w:style w:type="character" w:customStyle="1" w:styleId="apple-converted-space">
    <w:name w:val="apple-converted-space"/>
    <w:rsid w:val="00D55FEA"/>
  </w:style>
  <w:style w:type="character" w:customStyle="1" w:styleId="addmd">
    <w:name w:val="addmd"/>
    <w:rsid w:val="00D55FEA"/>
  </w:style>
  <w:style w:type="character" w:styleId="Emphasis">
    <w:name w:val="Emphasis"/>
    <w:uiPriority w:val="20"/>
    <w:qFormat/>
    <w:rsid w:val="00D55FEA"/>
    <w:rPr>
      <w:i/>
      <w:iCs/>
    </w:rPr>
  </w:style>
  <w:style w:type="paragraph" w:customStyle="1" w:styleId="Default">
    <w:name w:val="Default"/>
    <w:rsid w:val="00D55FEA"/>
    <w:pPr>
      <w:autoSpaceDE w:val="0"/>
      <w:autoSpaceDN w:val="0"/>
      <w:adjustRightInd w:val="0"/>
    </w:pPr>
    <w:rPr>
      <w:rFonts w:ascii="Arial" w:eastAsia="Calibri" w:hAnsi="Arial" w:cs="Arial"/>
      <w:color w:val="000000"/>
      <w:sz w:val="24"/>
      <w:szCs w:val="24"/>
      <w:lang w:val="fr-BE" w:eastAsia="en-US"/>
    </w:rPr>
  </w:style>
  <w:style w:type="paragraph" w:styleId="NoSpacing">
    <w:name w:val="No Spacing"/>
    <w:uiPriority w:val="1"/>
    <w:qFormat/>
    <w:rsid w:val="00C53886"/>
    <w:pPr>
      <w:tabs>
        <w:tab w:val="left" w:pos="567"/>
      </w:tabs>
      <w:overflowPunct w:val="0"/>
      <w:autoSpaceDE w:val="0"/>
      <w:autoSpaceDN w:val="0"/>
      <w:adjustRightInd w:val="0"/>
      <w:jc w:val="both"/>
      <w:textAlignment w:val="baseline"/>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hyperlink" Target="http://www.atlanticcouncil.org/blogs/natosource/the-european-reassurance-initiative-s-one-year-anniversary-mixed-results" TargetMode="External"/><Relationship Id="rId39" Type="http://schemas.openxmlformats.org/officeDocument/2006/relationships/hyperlink" Target="http://www.jallc.nato.int/products/docs/factsheet_cyber_defence.pdf" TargetMode="External"/><Relationship Id="rId21" Type="http://schemas.openxmlformats.org/officeDocument/2006/relationships/hyperlink" Target="http://www.nato-pa.int/shortcut.asp?FILE=3797" TargetMode="External"/><Relationship Id="rId34" Type="http://schemas.openxmlformats.org/officeDocument/2006/relationships/hyperlink" Target="http://www.nato.int/cps/en/natohq/official_texts_133169.htm" TargetMode="External"/><Relationship Id="rId42" Type="http://schemas.openxmlformats.org/officeDocument/2006/relationships/hyperlink" Target="http://www.reuters.com/article/us-ukraine-crisis-crimea-missiles-idUSKCN10N1H4" TargetMode="External"/><Relationship Id="rId47" Type="http://schemas.openxmlformats.org/officeDocument/2006/relationships/hyperlink" Target="http://static.kremlin.ru/media/events/files/ru/l8iXkR8XLAtxeilX7JK3XXy6Y0AsHD5v.pdf" TargetMode="External"/><Relationship Id="rId50" Type="http://schemas.openxmlformats.org/officeDocument/2006/relationships/hyperlink" Target="http://www.independent.co.uk/news/world/europe/vladimir-putin-says-russia-was-preparing-to-use-nuclear-weapons-if-necessary-and-blames-us-for-10109615.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ato-pa.int/Default.asp?SHORTCUT=4278" TargetMode="External"/><Relationship Id="rId25" Type="http://schemas.openxmlformats.org/officeDocument/2006/relationships/hyperlink" Target="http://www.nti.org/media/pdfs/NTI_Rising_Nuclear_Dangers_Paper_FINAL.pdf?_=1443443566" TargetMode="External"/><Relationship Id="rId33" Type="http://schemas.openxmlformats.org/officeDocument/2006/relationships/hyperlink" Target="http://www.kmin.ee/en/news/nato-investing-development-estonian-cyber-range" TargetMode="External"/><Relationship Id="rId38" Type="http://schemas.openxmlformats.org/officeDocument/2006/relationships/hyperlink" Target="http://www.nato.int/cps/en/natohq/topics_78170.htm" TargetMode="External"/><Relationship Id="rId46" Type="http://schemas.openxmlformats.org/officeDocument/2006/relationships/hyperlink" Target="http://tass.ru/armiya-i-opk/2132865" TargetMode="External"/><Relationship Id="rId2" Type="http://schemas.openxmlformats.org/officeDocument/2006/relationships/numbering" Target="numbering.xml"/><Relationship Id="rId16" Type="http://schemas.openxmlformats.org/officeDocument/2006/relationships/hyperlink" Target="http://www.nato.int/cps/en/natohq/topics_78170.htm?selectedLocale=fr" TargetMode="External"/><Relationship Id="rId20" Type="http://schemas.openxmlformats.org/officeDocument/2006/relationships/hyperlink" Target="http://nationalinterest.org/print/feature/russias-new-a2-ad-sphere-the-south-caucasus-16641" TargetMode="External"/><Relationship Id="rId29" Type="http://schemas.openxmlformats.org/officeDocument/2006/relationships/hyperlink" Target="http://nationalinterest.org/feature/five-russian-weapons-war-nato-should-fear-10816" TargetMode="External"/><Relationship Id="rId41" Type="http://schemas.openxmlformats.org/officeDocument/2006/relationships/hyperlink" Target="https://www.airn.nato.int/archive/2016/allied-air-command-takes-over-nato-first-permanent-ballistic-missile-defence-resource"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nato-pa.int/Default.asp?SHORTCUT=3742" TargetMode="External"/><Relationship Id="rId32" Type="http://schemas.openxmlformats.org/officeDocument/2006/relationships/hyperlink" Target="http://function.mil.ru/news_page/country/more.htm?id=12076048@egNews" TargetMode="External"/><Relationship Id="rId37" Type="http://schemas.openxmlformats.org/officeDocument/2006/relationships/hyperlink" Target="http://www.nato.int/lisbon2010/strategic-concept-2010-eng.pdf" TargetMode="External"/><Relationship Id="rId40" Type="http://schemas.openxmlformats.org/officeDocument/2006/relationships/hyperlink" Target="http://politrussia.com/vooruzhennye-sily/tsentr-sily-510/" TargetMode="External"/><Relationship Id="rId45" Type="http://schemas.openxmlformats.org/officeDocument/2006/relationships/hyperlink" Target="http://tass.ru/armiya-i-opk/2521727"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to-pa.int/Default.asp?SHORTCUT=3742" TargetMode="External"/><Relationship Id="rId23" Type="http://schemas.openxmlformats.org/officeDocument/2006/relationships/hyperlink" Target="http://www.nato-pa.int/shortcut.asp?FILE=4173" TargetMode="External"/><Relationship Id="rId28" Type="http://schemas.openxmlformats.org/officeDocument/2006/relationships/hyperlink" Target="http://www.nato.usmission.gov/ambassador-speeches/what-the-libya-operation-teaches-us-about-nato.html" TargetMode="External"/><Relationship Id="rId36" Type="http://schemas.openxmlformats.org/officeDocument/2006/relationships/hyperlink" Target="http://www.nato.int/cps/en/natohq/official_texts_133177.htm" TargetMode="External"/><Relationship Id="rId49" Type="http://schemas.openxmlformats.org/officeDocument/2006/relationships/hyperlink" Target="http://comptroller.defense.gov/Portals/45/Documents/defbudget/fy2017/FY2017_ERI_J-Book.pdf"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nationalinterest.org/print/blog/the-buzz/us-air-force-fears-russias-s-400-europe-14883" TargetMode="External"/><Relationship Id="rId44" Type="http://schemas.openxmlformats.org/officeDocument/2006/relationships/hyperlink" Target="http://riss.ru/smi/23064/"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ato-pa.int/Default.asp?SHORTCUT=3459" TargetMode="External"/><Relationship Id="rId22" Type="http://schemas.openxmlformats.org/officeDocument/2006/relationships/hyperlink" Target="http://www.nato-pa.int/Default.asp?SHORTCUT=3459" TargetMode="External"/><Relationship Id="rId27" Type="http://schemas.openxmlformats.org/officeDocument/2006/relationships/hyperlink" Target="http://www.defenseone.com/ideas/2015/06/natos-leaders-have-chance-create-new-normal/115753/" TargetMode="External"/><Relationship Id="rId30" Type="http://schemas.openxmlformats.org/officeDocument/2006/relationships/hyperlink" Target="http://nationalinterest.org/print/blog/the-buzz/biggest-threat-us-navy-nato-face-russian-subs-a2-ad-bastions-16808" TargetMode="External"/><Relationship Id="rId35" Type="http://schemas.openxmlformats.org/officeDocument/2006/relationships/hyperlink" Target="http://www.nato.int/nato_static_fl2014/assets/pdf/pdf_2016_07/20160704_160704-pr2016-116.pdf" TargetMode="External"/><Relationship Id="rId43" Type="http://schemas.openxmlformats.org/officeDocument/2006/relationships/hyperlink" Target="http://www.scmagazineuk.com/nato-to-spend-70-million-on-cyber-refresh/article/518051/" TargetMode="External"/><Relationship Id="rId48" Type="http://schemas.openxmlformats.org/officeDocument/2006/relationships/hyperlink" Target="http://kremlin.ru/events/president/news/20979"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ato-pa.int/Default.asp?SHORTCUT=4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Word%20NATO%20PA%20TEMPLATES\NATO%20PA%20DOCUMENT%20SERVICE\zRAPPORT%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BBEC-5E07-4EE8-ABB3-8843728E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zRAPPORT GENERAL.dotx</Template>
  <TotalTime>4</TotalTime>
  <Pages>31</Pages>
  <Words>16541</Words>
  <Characters>99360</Characters>
  <Application>Microsoft Office Word</Application>
  <DocSecurity>0</DocSecurity>
  <Lines>828</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rapport général DSC 2016</vt:lpstr>
      <vt:lpstr>projet rapport général DSC 2016</vt:lpstr>
    </vt:vector>
  </TitlesOfParts>
  <Manager>Ethan Corbin</Manager>
  <Company>AP-OTAN</Company>
  <LinksUpToDate>false</LinksUpToDate>
  <CharactersWithSpaces>115670</CharactersWithSpaces>
  <SharedDoc>false</SharedDoc>
  <HLinks>
    <vt:vector size="6" baseType="variant">
      <vt:variant>
        <vt:i4>589919</vt:i4>
      </vt:variant>
      <vt:variant>
        <vt:i4>18</vt:i4>
      </vt:variant>
      <vt:variant>
        <vt:i4>0</vt:i4>
      </vt:variant>
      <vt:variant>
        <vt:i4>5</vt:i4>
      </vt:variant>
      <vt:variant>
        <vt:lpwstr>D:\Documents and Settings\utente_locale\Impostazioni locali\Temporary Internet Files\Content.IE5\JU6OKTP2\www.nato-pa.int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 DSC 16 F bis - la nouvelle posture de dissuasion de l'OTAN</dc:title>
  <dc:subject>dissuasion Russie</dc:subject>
  <dc:creator>Joseph A. Day</dc:creator>
  <cp:keywords>sommet OTAN Varsovie</cp:keywords>
  <cp:lastModifiedBy>Arcis Isabelle</cp:lastModifiedBy>
  <cp:revision>2</cp:revision>
  <cp:lastPrinted>2016-12-01T08:48:00Z</cp:lastPrinted>
  <dcterms:created xsi:type="dcterms:W3CDTF">2016-12-01T08:49:00Z</dcterms:created>
  <dcterms:modified xsi:type="dcterms:W3CDTF">2016-12-01T08:49:00Z</dcterms:modified>
</cp:coreProperties>
</file>